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9051E" w14:textId="77777777" w:rsidR="007A13A2" w:rsidRPr="00A46755" w:rsidRDefault="007A13A2" w:rsidP="007A13A2">
      <w:pPr>
        <w:pStyle w:val="Heading1"/>
        <w:spacing w:before="240" w:line="240" w:lineRule="auto"/>
        <w:ind w:left="-576"/>
        <w:rPr>
          <w:b/>
          <w:bCs/>
          <w:sz w:val="32"/>
          <w:szCs w:val="32"/>
          <w:lang w:val="en-CA"/>
        </w:rPr>
      </w:pPr>
      <w:bookmarkStart w:id="0" w:name="_Toc126836844"/>
      <w:r w:rsidRPr="00A46755">
        <w:rPr>
          <w:b/>
          <w:bCs/>
          <w:sz w:val="32"/>
          <w:szCs w:val="32"/>
          <w:lang w:val="en-CA"/>
        </w:rPr>
        <w:t>Glucocorticoids</w:t>
      </w:r>
      <w:bookmarkEnd w:id="0"/>
    </w:p>
    <w:p w14:paraId="69E64409" w14:textId="77777777" w:rsidR="007A13A2" w:rsidRPr="00A46755" w:rsidRDefault="007A13A2" w:rsidP="007A13A2">
      <w:pPr>
        <w:pStyle w:val="Heading2"/>
        <w:spacing w:before="240" w:line="240" w:lineRule="auto"/>
        <w:ind w:left="-576"/>
        <w:rPr>
          <w:sz w:val="24"/>
          <w:szCs w:val="24"/>
        </w:rPr>
      </w:pPr>
      <w:bookmarkStart w:id="1" w:name="_Toc126836845"/>
      <w:r w:rsidRPr="00A46755">
        <w:rPr>
          <w:b/>
          <w:bCs/>
          <w:sz w:val="24"/>
          <w:szCs w:val="24"/>
          <w:lang w:val="en-CA"/>
        </w:rPr>
        <w:t>Table s</w:t>
      </w:r>
      <w:r>
        <w:rPr>
          <w:b/>
          <w:bCs/>
          <w:sz w:val="24"/>
          <w:szCs w:val="24"/>
          <w:lang w:val="en-CA"/>
        </w:rPr>
        <w:t>1</w:t>
      </w:r>
      <w:r w:rsidRPr="00A46755">
        <w:rPr>
          <w:b/>
          <w:bCs/>
          <w:sz w:val="24"/>
          <w:szCs w:val="24"/>
          <w:lang w:val="en-CA"/>
        </w:rPr>
        <w:t xml:space="preserve">.  </w:t>
      </w:r>
      <w:r w:rsidRPr="00A46755">
        <w:rPr>
          <w:sz w:val="24"/>
          <w:szCs w:val="24"/>
        </w:rPr>
        <w:t>Should hospitalized patients with severe COVID-19 receive treatment with corticosteroids vs.</w:t>
      </w:r>
      <w:r w:rsidRPr="00A46755">
        <w:rPr>
          <w:szCs w:val="24"/>
        </w:rPr>
        <w:t xml:space="preserve"> </w:t>
      </w:r>
      <w:r w:rsidRPr="00A46755">
        <w:rPr>
          <w:sz w:val="24"/>
          <w:szCs w:val="24"/>
        </w:rPr>
        <w:t>no corticosteroids?</w:t>
      </w:r>
      <w:bookmarkEnd w:id="1"/>
    </w:p>
    <w:tbl>
      <w:tblPr>
        <w:tblW w:w="5475" w:type="pct"/>
        <w:tblInd w:w="-57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727"/>
        <w:gridCol w:w="941"/>
        <w:gridCol w:w="795"/>
        <w:gridCol w:w="1350"/>
        <w:gridCol w:w="810"/>
        <w:gridCol w:w="1260"/>
        <w:gridCol w:w="1890"/>
        <w:gridCol w:w="1440"/>
        <w:gridCol w:w="1170"/>
        <w:gridCol w:w="1260"/>
        <w:gridCol w:w="1350"/>
        <w:gridCol w:w="1192"/>
      </w:tblGrid>
      <w:tr w:rsidR="007A13A2" w:rsidRPr="00A46755" w14:paraId="6830F054" w14:textId="77777777" w:rsidTr="00460762">
        <w:trPr>
          <w:trHeight w:val="705"/>
          <w:tblHeader/>
        </w:trPr>
        <w:tc>
          <w:tcPr>
            <w:tcW w:w="727" w:type="dxa"/>
            <w:shd w:val="clear" w:color="auto" w:fill="D9D9D9" w:themeFill="background1" w:themeFillShade="D9"/>
          </w:tcPr>
          <w:p w14:paraId="41CCFBF0" w14:textId="77777777" w:rsidR="007A13A2" w:rsidRPr="00A46755" w:rsidRDefault="007A13A2" w:rsidP="00460762">
            <w:pPr>
              <w:spacing w:after="200" w:line="240" w:lineRule="auto"/>
              <w:rPr>
                <w:rFonts w:eastAsia="Times New Roman" w:cstheme="minorHAnsi"/>
                <w:b/>
                <w:bCs/>
                <w:sz w:val="18"/>
                <w:szCs w:val="18"/>
              </w:rPr>
            </w:pPr>
            <w:r w:rsidRPr="00A46755">
              <w:rPr>
                <w:rFonts w:eastAsia="Times New Roman" w:cstheme="minorHAnsi"/>
                <w:b/>
                <w:bCs/>
                <w:sz w:val="18"/>
                <w:szCs w:val="18"/>
              </w:rPr>
              <w:t>Study/ year</w:t>
            </w:r>
          </w:p>
        </w:tc>
        <w:tc>
          <w:tcPr>
            <w:tcW w:w="941" w:type="dxa"/>
            <w:shd w:val="clear" w:color="auto" w:fill="D9D9D9" w:themeFill="background1" w:themeFillShade="D9"/>
          </w:tcPr>
          <w:p w14:paraId="6FEA0AE3" w14:textId="77777777" w:rsidR="007A13A2" w:rsidRPr="00A46755" w:rsidRDefault="007A13A2" w:rsidP="00460762">
            <w:pPr>
              <w:spacing w:after="200" w:line="240" w:lineRule="auto"/>
              <w:rPr>
                <w:rFonts w:eastAsia="Times New Roman" w:cstheme="minorHAnsi"/>
                <w:b/>
                <w:bCs/>
                <w:sz w:val="18"/>
                <w:szCs w:val="18"/>
              </w:rPr>
            </w:pPr>
            <w:r w:rsidRPr="00A46755">
              <w:rPr>
                <w:rFonts w:eastAsia="Times New Roman" w:cstheme="minorHAnsi"/>
                <w:b/>
                <w:bCs/>
                <w:sz w:val="18"/>
                <w:szCs w:val="18"/>
              </w:rPr>
              <w:t>Country/ Hospital</w:t>
            </w:r>
          </w:p>
        </w:tc>
        <w:tc>
          <w:tcPr>
            <w:tcW w:w="795" w:type="dxa"/>
            <w:shd w:val="clear" w:color="auto" w:fill="D9D9D9" w:themeFill="background1" w:themeFillShade="D9"/>
          </w:tcPr>
          <w:p w14:paraId="00B0AB77" w14:textId="77777777" w:rsidR="007A13A2" w:rsidRPr="00A46755" w:rsidRDefault="007A13A2" w:rsidP="00460762">
            <w:pPr>
              <w:spacing w:after="200" w:line="240" w:lineRule="auto"/>
              <w:rPr>
                <w:rFonts w:eastAsia="Times New Roman" w:cstheme="minorHAnsi"/>
                <w:b/>
                <w:bCs/>
                <w:sz w:val="18"/>
                <w:szCs w:val="18"/>
              </w:rPr>
            </w:pPr>
            <w:r w:rsidRPr="00A46755">
              <w:rPr>
                <w:rFonts w:eastAsia="Times New Roman" w:cstheme="minorHAnsi"/>
                <w:b/>
                <w:bCs/>
                <w:sz w:val="18"/>
                <w:szCs w:val="18"/>
              </w:rPr>
              <w:t>Study design</w:t>
            </w:r>
          </w:p>
        </w:tc>
        <w:tc>
          <w:tcPr>
            <w:tcW w:w="1350" w:type="dxa"/>
            <w:shd w:val="clear" w:color="auto" w:fill="D9D9D9" w:themeFill="background1" w:themeFillShade="D9"/>
          </w:tcPr>
          <w:p w14:paraId="14AEB798" w14:textId="77777777" w:rsidR="007A13A2" w:rsidRPr="00A46755" w:rsidRDefault="007A13A2" w:rsidP="00460762">
            <w:pPr>
              <w:spacing w:after="200" w:line="240" w:lineRule="auto"/>
              <w:rPr>
                <w:rFonts w:eastAsia="Times New Roman" w:cstheme="minorHAnsi"/>
                <w:b/>
                <w:bCs/>
                <w:sz w:val="18"/>
                <w:szCs w:val="18"/>
              </w:rPr>
            </w:pPr>
            <w:r w:rsidRPr="00A46755">
              <w:rPr>
                <w:rFonts w:eastAsia="Times New Roman" w:cstheme="minorHAnsi"/>
                <w:b/>
                <w:bCs/>
                <w:sz w:val="18"/>
                <w:szCs w:val="18"/>
              </w:rPr>
              <w:t>N subjects (intervention / comparator)</w:t>
            </w:r>
          </w:p>
        </w:tc>
        <w:tc>
          <w:tcPr>
            <w:tcW w:w="810" w:type="dxa"/>
            <w:shd w:val="clear" w:color="auto" w:fill="D9D9D9" w:themeFill="background1" w:themeFillShade="D9"/>
          </w:tcPr>
          <w:p w14:paraId="0DC60103" w14:textId="77777777" w:rsidR="007A13A2" w:rsidRPr="00A46755" w:rsidRDefault="007A13A2" w:rsidP="00460762">
            <w:pPr>
              <w:spacing w:after="200" w:line="240" w:lineRule="auto"/>
              <w:rPr>
                <w:rFonts w:eastAsia="Times New Roman" w:cstheme="minorHAnsi"/>
                <w:b/>
                <w:bCs/>
                <w:sz w:val="18"/>
                <w:szCs w:val="18"/>
              </w:rPr>
            </w:pPr>
            <w:r w:rsidRPr="00A46755">
              <w:rPr>
                <w:rFonts w:eastAsia="Times New Roman" w:cstheme="minorHAnsi"/>
                <w:b/>
                <w:bCs/>
                <w:sz w:val="18"/>
                <w:szCs w:val="18"/>
              </w:rPr>
              <w:t xml:space="preserve">% </w:t>
            </w:r>
            <w:proofErr w:type="gramStart"/>
            <w:r w:rsidRPr="00A46755">
              <w:rPr>
                <w:rFonts w:eastAsia="Times New Roman" w:cstheme="minorHAnsi"/>
                <w:b/>
                <w:bCs/>
                <w:sz w:val="18"/>
                <w:szCs w:val="18"/>
              </w:rPr>
              <w:t>female</w:t>
            </w:r>
            <w:proofErr w:type="gramEnd"/>
          </w:p>
        </w:tc>
        <w:tc>
          <w:tcPr>
            <w:tcW w:w="1260" w:type="dxa"/>
            <w:shd w:val="clear" w:color="auto" w:fill="D9D9D9" w:themeFill="background1" w:themeFillShade="D9"/>
          </w:tcPr>
          <w:p w14:paraId="00219750" w14:textId="77777777" w:rsidR="007A13A2" w:rsidRPr="00A46755" w:rsidRDefault="007A13A2" w:rsidP="00460762">
            <w:pPr>
              <w:spacing w:after="200" w:line="240" w:lineRule="auto"/>
              <w:rPr>
                <w:rFonts w:eastAsia="Times New Roman" w:cstheme="minorHAnsi"/>
                <w:b/>
                <w:bCs/>
                <w:sz w:val="18"/>
                <w:szCs w:val="18"/>
              </w:rPr>
            </w:pPr>
            <w:r w:rsidRPr="00A46755">
              <w:rPr>
                <w:rFonts w:eastAsia="Times New Roman" w:cstheme="minorHAnsi"/>
                <w:b/>
                <w:bCs/>
                <w:sz w:val="18"/>
                <w:szCs w:val="18"/>
              </w:rPr>
              <w:t xml:space="preserve">Age </w:t>
            </w:r>
            <w:proofErr w:type="gramStart"/>
            <w:r w:rsidRPr="00A46755">
              <w:rPr>
                <w:rFonts w:eastAsia="Times New Roman" w:cstheme="minorHAnsi"/>
                <w:b/>
                <w:bCs/>
                <w:sz w:val="18"/>
                <w:szCs w:val="18"/>
              </w:rPr>
              <w:t>mean</w:t>
            </w:r>
            <w:proofErr w:type="gramEnd"/>
            <w:r w:rsidRPr="00A46755">
              <w:rPr>
                <w:rFonts w:eastAsia="Times New Roman" w:cstheme="minorHAnsi"/>
                <w:b/>
                <w:bCs/>
                <w:sz w:val="18"/>
                <w:szCs w:val="18"/>
              </w:rPr>
              <w:t xml:space="preserve"> (SD) / Median (IQR)</w:t>
            </w:r>
          </w:p>
        </w:tc>
        <w:tc>
          <w:tcPr>
            <w:tcW w:w="1890" w:type="dxa"/>
            <w:shd w:val="clear" w:color="auto" w:fill="D9D9D9" w:themeFill="background1" w:themeFillShade="D9"/>
          </w:tcPr>
          <w:p w14:paraId="23B69146" w14:textId="77777777" w:rsidR="007A13A2" w:rsidRPr="00A46755" w:rsidRDefault="007A13A2" w:rsidP="00460762">
            <w:pPr>
              <w:spacing w:after="200" w:line="240" w:lineRule="auto"/>
              <w:rPr>
                <w:rFonts w:eastAsia="Times New Roman" w:cstheme="minorHAnsi"/>
                <w:b/>
                <w:bCs/>
                <w:sz w:val="18"/>
                <w:szCs w:val="18"/>
              </w:rPr>
            </w:pPr>
            <w:r w:rsidRPr="00A46755">
              <w:rPr>
                <w:rFonts w:eastAsia="Times New Roman" w:cstheme="minorHAnsi"/>
                <w:b/>
                <w:bCs/>
                <w:sz w:val="18"/>
                <w:szCs w:val="18"/>
              </w:rPr>
              <w:t>Severity of disease</w:t>
            </w:r>
          </w:p>
        </w:tc>
        <w:tc>
          <w:tcPr>
            <w:tcW w:w="1440" w:type="dxa"/>
            <w:shd w:val="clear" w:color="auto" w:fill="D9D9D9" w:themeFill="background1" w:themeFillShade="D9"/>
          </w:tcPr>
          <w:p w14:paraId="2DEFE4EA" w14:textId="77777777" w:rsidR="007A13A2" w:rsidRPr="00A46755" w:rsidRDefault="007A13A2" w:rsidP="00460762">
            <w:pPr>
              <w:spacing w:after="200" w:line="240" w:lineRule="auto"/>
              <w:rPr>
                <w:rFonts w:eastAsia="Times New Roman" w:cstheme="minorHAnsi"/>
                <w:b/>
                <w:bCs/>
                <w:sz w:val="18"/>
                <w:szCs w:val="18"/>
              </w:rPr>
            </w:pPr>
            <w:r w:rsidRPr="00A46755">
              <w:rPr>
                <w:rFonts w:eastAsia="Times New Roman" w:cstheme="minorHAnsi"/>
                <w:b/>
                <w:bCs/>
                <w:sz w:val="18"/>
                <w:szCs w:val="18"/>
              </w:rPr>
              <w:t>Intervention (study arms)</w:t>
            </w:r>
          </w:p>
        </w:tc>
        <w:tc>
          <w:tcPr>
            <w:tcW w:w="1170" w:type="dxa"/>
            <w:shd w:val="clear" w:color="auto" w:fill="D9D9D9" w:themeFill="background1" w:themeFillShade="D9"/>
          </w:tcPr>
          <w:p w14:paraId="672DB13F" w14:textId="77777777" w:rsidR="007A13A2" w:rsidRPr="00A46755" w:rsidRDefault="007A13A2" w:rsidP="00460762">
            <w:pPr>
              <w:spacing w:after="200" w:line="240" w:lineRule="auto"/>
              <w:rPr>
                <w:rFonts w:eastAsia="Times New Roman" w:cstheme="minorHAnsi"/>
                <w:b/>
                <w:bCs/>
                <w:sz w:val="18"/>
                <w:szCs w:val="18"/>
              </w:rPr>
            </w:pPr>
            <w:r w:rsidRPr="00A46755">
              <w:rPr>
                <w:rFonts w:eastAsia="Times New Roman" w:cstheme="minorHAnsi"/>
                <w:b/>
                <w:bCs/>
                <w:sz w:val="18"/>
                <w:szCs w:val="18"/>
              </w:rPr>
              <w:t>Comparator</w:t>
            </w:r>
          </w:p>
        </w:tc>
        <w:tc>
          <w:tcPr>
            <w:tcW w:w="1260" w:type="dxa"/>
            <w:shd w:val="clear" w:color="auto" w:fill="D9D9D9" w:themeFill="background1" w:themeFillShade="D9"/>
          </w:tcPr>
          <w:p w14:paraId="5EF5A3FA" w14:textId="77777777" w:rsidR="007A13A2" w:rsidRPr="00A46755" w:rsidRDefault="007A13A2" w:rsidP="00460762">
            <w:pPr>
              <w:spacing w:after="200" w:line="240" w:lineRule="auto"/>
              <w:rPr>
                <w:rFonts w:eastAsia="Times New Roman" w:cstheme="minorHAnsi"/>
                <w:b/>
                <w:bCs/>
                <w:sz w:val="18"/>
                <w:szCs w:val="18"/>
              </w:rPr>
            </w:pPr>
            <w:r w:rsidRPr="00A46755">
              <w:rPr>
                <w:rFonts w:eastAsia="Times New Roman" w:cstheme="minorHAnsi"/>
                <w:b/>
                <w:bCs/>
                <w:sz w:val="18"/>
                <w:szCs w:val="18"/>
              </w:rPr>
              <w:t>Co-interventions</w:t>
            </w:r>
          </w:p>
        </w:tc>
        <w:tc>
          <w:tcPr>
            <w:tcW w:w="1350" w:type="dxa"/>
            <w:shd w:val="clear" w:color="auto" w:fill="D9D9D9" w:themeFill="background1" w:themeFillShade="D9"/>
          </w:tcPr>
          <w:p w14:paraId="10A08723" w14:textId="77777777" w:rsidR="007A13A2" w:rsidRPr="00A46755" w:rsidRDefault="007A13A2" w:rsidP="00460762">
            <w:pPr>
              <w:spacing w:after="200" w:line="240" w:lineRule="auto"/>
              <w:rPr>
                <w:rFonts w:eastAsia="Times New Roman" w:cstheme="minorHAnsi"/>
                <w:b/>
                <w:bCs/>
                <w:sz w:val="18"/>
                <w:szCs w:val="18"/>
              </w:rPr>
            </w:pPr>
            <w:r w:rsidRPr="00A46755">
              <w:rPr>
                <w:rFonts w:eastAsia="Times New Roman" w:cstheme="minorHAnsi"/>
                <w:b/>
                <w:bCs/>
                <w:sz w:val="18"/>
                <w:szCs w:val="18"/>
              </w:rPr>
              <w:t>Outcomes reported</w:t>
            </w:r>
          </w:p>
        </w:tc>
        <w:tc>
          <w:tcPr>
            <w:tcW w:w="1192" w:type="dxa"/>
            <w:shd w:val="clear" w:color="auto" w:fill="D9D9D9" w:themeFill="background1" w:themeFillShade="D9"/>
          </w:tcPr>
          <w:p w14:paraId="796D10F8" w14:textId="77777777" w:rsidR="007A13A2" w:rsidRPr="00A46755" w:rsidRDefault="007A13A2" w:rsidP="00460762">
            <w:pPr>
              <w:spacing w:after="200" w:line="240" w:lineRule="auto"/>
              <w:rPr>
                <w:rFonts w:eastAsia="Times New Roman" w:cstheme="minorHAnsi"/>
                <w:b/>
                <w:bCs/>
                <w:sz w:val="18"/>
                <w:szCs w:val="18"/>
              </w:rPr>
            </w:pPr>
            <w:r w:rsidRPr="00A46755">
              <w:rPr>
                <w:rFonts w:eastAsia="Times New Roman" w:cstheme="minorHAnsi"/>
                <w:b/>
                <w:bCs/>
                <w:sz w:val="18"/>
                <w:szCs w:val="18"/>
              </w:rPr>
              <w:t>Funding source</w:t>
            </w:r>
          </w:p>
        </w:tc>
      </w:tr>
      <w:tr w:rsidR="007A13A2" w:rsidRPr="00A46755" w14:paraId="6B20A88F" w14:textId="77777777" w:rsidTr="00460762">
        <w:trPr>
          <w:trHeight w:val="495"/>
        </w:trPr>
        <w:tc>
          <w:tcPr>
            <w:tcW w:w="727" w:type="dxa"/>
          </w:tcPr>
          <w:p w14:paraId="3880B8A2" w14:textId="77777777" w:rsidR="007A13A2" w:rsidRPr="00A46755" w:rsidRDefault="007A13A2" w:rsidP="00460762">
            <w:pPr>
              <w:spacing w:after="200" w:line="240" w:lineRule="auto"/>
              <w:rPr>
                <w:rFonts w:eastAsia="Times New Roman" w:cstheme="minorHAnsi"/>
                <w:sz w:val="18"/>
                <w:szCs w:val="18"/>
              </w:rPr>
            </w:pPr>
            <w:r w:rsidRPr="00A46755">
              <w:rPr>
                <w:rFonts w:eastAsia="Times New Roman" w:cstheme="minorHAnsi"/>
                <w:sz w:val="18"/>
                <w:szCs w:val="18"/>
              </w:rPr>
              <w:t>Corral-</w:t>
            </w:r>
            <w:proofErr w:type="spellStart"/>
            <w:r w:rsidRPr="00A46755">
              <w:rPr>
                <w:rFonts w:eastAsia="Times New Roman" w:cstheme="minorHAnsi"/>
                <w:sz w:val="18"/>
                <w:szCs w:val="18"/>
              </w:rPr>
              <w:t>Gudino</w:t>
            </w:r>
            <w:proofErr w:type="spellEnd"/>
            <w:r w:rsidRPr="00A46755">
              <w:rPr>
                <w:rFonts w:eastAsia="Times New Roman" w:cstheme="minorHAnsi"/>
                <w:sz w:val="18"/>
                <w:szCs w:val="18"/>
              </w:rPr>
              <w:t>/ 2020</w:t>
            </w:r>
            <w:r w:rsidRPr="00A46755">
              <w:rPr>
                <w:rFonts w:eastAsia="Times New Roman" w:cstheme="minorHAnsi"/>
                <w:sz w:val="18"/>
                <w:szCs w:val="18"/>
                <w:vertAlign w:val="superscript"/>
              </w:rPr>
              <w:t xml:space="preserve"> 1</w:t>
            </w:r>
          </w:p>
        </w:tc>
        <w:tc>
          <w:tcPr>
            <w:tcW w:w="941" w:type="dxa"/>
          </w:tcPr>
          <w:p w14:paraId="3D37EAD4" w14:textId="77777777" w:rsidR="007A13A2" w:rsidRPr="00A46755" w:rsidRDefault="007A13A2" w:rsidP="00460762">
            <w:pPr>
              <w:spacing w:after="200" w:line="240" w:lineRule="auto"/>
              <w:rPr>
                <w:rFonts w:eastAsia="Times New Roman" w:cstheme="minorHAnsi"/>
                <w:sz w:val="18"/>
                <w:szCs w:val="18"/>
                <w:lang w:val="es-ES"/>
              </w:rPr>
            </w:pPr>
            <w:r w:rsidRPr="00A46755">
              <w:rPr>
                <w:rFonts w:eastAsia="Times New Roman" w:cstheme="minorHAnsi"/>
                <w:sz w:val="18"/>
                <w:szCs w:val="18"/>
              </w:rPr>
              <w:t>Spain/ 5 hospitals</w:t>
            </w:r>
          </w:p>
        </w:tc>
        <w:tc>
          <w:tcPr>
            <w:tcW w:w="795" w:type="dxa"/>
          </w:tcPr>
          <w:p w14:paraId="2538A7E6" w14:textId="77777777" w:rsidR="007A13A2" w:rsidRPr="00A46755" w:rsidRDefault="007A13A2" w:rsidP="00460762">
            <w:pPr>
              <w:spacing w:after="200" w:line="240" w:lineRule="auto"/>
              <w:rPr>
                <w:rFonts w:eastAsia="Times New Roman"/>
                <w:sz w:val="18"/>
                <w:szCs w:val="18"/>
              </w:rPr>
            </w:pPr>
            <w:r w:rsidRPr="00A46755">
              <w:rPr>
                <w:rFonts w:eastAsia="Times New Roman"/>
                <w:sz w:val="18"/>
                <w:szCs w:val="18"/>
              </w:rPr>
              <w:t>RCT with additional patients preferentially assigned to the treatment arm by investigators</w:t>
            </w:r>
          </w:p>
        </w:tc>
        <w:tc>
          <w:tcPr>
            <w:tcW w:w="1350" w:type="dxa"/>
          </w:tcPr>
          <w:p w14:paraId="098DF714" w14:textId="77777777" w:rsidR="007A13A2" w:rsidRPr="00A46755" w:rsidRDefault="007A13A2" w:rsidP="00460762">
            <w:pPr>
              <w:spacing w:after="200" w:line="240" w:lineRule="auto"/>
              <w:rPr>
                <w:rFonts w:eastAsia="Times New Roman"/>
                <w:sz w:val="18"/>
                <w:szCs w:val="18"/>
              </w:rPr>
            </w:pPr>
            <w:r w:rsidRPr="00A46755">
              <w:rPr>
                <w:rFonts w:eastAsia="Times New Roman"/>
                <w:sz w:val="18"/>
                <w:szCs w:val="18"/>
              </w:rPr>
              <w:t>85</w:t>
            </w:r>
          </w:p>
          <w:p w14:paraId="264C698C" w14:textId="77777777" w:rsidR="007A13A2" w:rsidRPr="00A46755" w:rsidRDefault="007A13A2" w:rsidP="00460762">
            <w:pPr>
              <w:spacing w:after="200" w:line="240" w:lineRule="auto"/>
              <w:rPr>
                <w:rFonts w:eastAsia="Times New Roman" w:cstheme="minorHAnsi"/>
                <w:sz w:val="18"/>
                <w:szCs w:val="18"/>
              </w:rPr>
            </w:pPr>
            <w:r w:rsidRPr="00A46755">
              <w:rPr>
                <w:rFonts w:eastAsia="Times New Roman" w:cstheme="minorHAnsi"/>
                <w:sz w:val="18"/>
                <w:szCs w:val="18"/>
              </w:rPr>
              <w:t>(56/29)</w:t>
            </w:r>
          </w:p>
        </w:tc>
        <w:tc>
          <w:tcPr>
            <w:tcW w:w="810" w:type="dxa"/>
          </w:tcPr>
          <w:p w14:paraId="5C79EAF0" w14:textId="77777777" w:rsidR="007A13A2" w:rsidRPr="00A46755" w:rsidRDefault="007A13A2" w:rsidP="00460762">
            <w:pPr>
              <w:spacing w:after="200" w:line="240" w:lineRule="auto"/>
              <w:rPr>
                <w:rFonts w:eastAsia="Times New Roman" w:cstheme="minorHAnsi"/>
                <w:sz w:val="18"/>
                <w:szCs w:val="18"/>
              </w:rPr>
            </w:pPr>
            <w:r w:rsidRPr="00A46755">
              <w:rPr>
                <w:rFonts w:eastAsia="Times New Roman" w:cstheme="minorHAnsi"/>
                <w:sz w:val="18"/>
                <w:szCs w:val="18"/>
              </w:rPr>
              <w:t>42.4</w:t>
            </w:r>
          </w:p>
        </w:tc>
        <w:tc>
          <w:tcPr>
            <w:tcW w:w="1260" w:type="dxa"/>
          </w:tcPr>
          <w:p w14:paraId="4C36D32D" w14:textId="77777777" w:rsidR="007A13A2" w:rsidRPr="00A46755" w:rsidRDefault="007A13A2" w:rsidP="00460762">
            <w:pPr>
              <w:spacing w:after="200" w:line="240" w:lineRule="auto"/>
              <w:rPr>
                <w:rFonts w:eastAsia="Times New Roman" w:cstheme="minorHAnsi"/>
                <w:sz w:val="18"/>
                <w:szCs w:val="18"/>
              </w:rPr>
            </w:pPr>
            <w:r w:rsidRPr="00A46755">
              <w:rPr>
                <w:rFonts w:eastAsia="Times New Roman" w:cstheme="minorHAnsi"/>
                <w:sz w:val="18"/>
                <w:szCs w:val="18"/>
              </w:rPr>
              <w:t>Mean (SD): 69 (12)</w:t>
            </w:r>
          </w:p>
        </w:tc>
        <w:tc>
          <w:tcPr>
            <w:tcW w:w="1890" w:type="dxa"/>
          </w:tcPr>
          <w:p w14:paraId="6E5044F4" w14:textId="77777777" w:rsidR="007A13A2" w:rsidRPr="00A46755" w:rsidRDefault="007A13A2" w:rsidP="00460762">
            <w:pPr>
              <w:spacing w:after="200" w:line="240" w:lineRule="auto"/>
              <w:rPr>
                <w:rFonts w:eastAsia="Times New Roman" w:cstheme="minorHAnsi"/>
                <w:sz w:val="18"/>
                <w:szCs w:val="18"/>
              </w:rPr>
            </w:pPr>
            <w:r w:rsidRPr="00A46755">
              <w:rPr>
                <w:rFonts w:eastAsia="Times New Roman"/>
                <w:sz w:val="18"/>
                <w:szCs w:val="18"/>
              </w:rPr>
              <w:t xml:space="preserve">Hospitalized patients with a laboratory confirmed diagnosis of SARS-CoV-2 infection; additional criteria: symptom duration of at least 7 days, radiological evidence of lung disease in chest X-ray or CT scan, moderate-to-severe disease with abnormal gas exchange (PaO2/FiO2 &lt;300 or SaO2/FiO2 &lt; 400), and laboratory parameters suggesting a hyperinflammatory state (serum CRP &gt;15 mg/dl, D-dimer &gt; 800 mg/dl, ferritin &gt; 1000 mg/dl or IL-6 levels &gt; 20 </w:t>
            </w:r>
            <w:proofErr w:type="spellStart"/>
            <w:r w:rsidRPr="00A46755">
              <w:rPr>
                <w:rFonts w:eastAsia="Times New Roman"/>
                <w:sz w:val="18"/>
                <w:szCs w:val="18"/>
              </w:rPr>
              <w:t>pg</w:t>
            </w:r>
            <w:proofErr w:type="spellEnd"/>
            <w:r w:rsidRPr="00A46755">
              <w:rPr>
                <w:rFonts w:eastAsia="Times New Roman"/>
                <w:sz w:val="18"/>
                <w:szCs w:val="18"/>
              </w:rPr>
              <w:t>/ml)</w:t>
            </w:r>
          </w:p>
        </w:tc>
        <w:tc>
          <w:tcPr>
            <w:tcW w:w="1440" w:type="dxa"/>
          </w:tcPr>
          <w:p w14:paraId="18723C27" w14:textId="77777777" w:rsidR="007A13A2" w:rsidRPr="00A46755" w:rsidRDefault="007A13A2" w:rsidP="00460762">
            <w:pPr>
              <w:spacing w:after="200" w:line="240" w:lineRule="auto"/>
              <w:rPr>
                <w:rFonts w:eastAsia="Times New Roman"/>
                <w:sz w:val="18"/>
                <w:szCs w:val="18"/>
              </w:rPr>
            </w:pPr>
            <w:r w:rsidRPr="00A46755">
              <w:rPr>
                <w:rFonts w:eastAsia="Times New Roman"/>
                <w:sz w:val="18"/>
                <w:szCs w:val="18"/>
              </w:rPr>
              <w:t xml:space="preserve">Methylprednisolone 40 mg intravenously every 12 hours for 3 days and then 20 mg every 12 hours for 3 days </w:t>
            </w:r>
          </w:p>
          <w:p w14:paraId="717A7337" w14:textId="77777777" w:rsidR="007A13A2" w:rsidRPr="00A46755" w:rsidRDefault="007A13A2" w:rsidP="00460762">
            <w:pPr>
              <w:spacing w:after="200" w:line="240" w:lineRule="auto"/>
              <w:rPr>
                <w:rFonts w:eastAsia="Times New Roman" w:cstheme="minorHAnsi"/>
                <w:sz w:val="18"/>
                <w:szCs w:val="18"/>
              </w:rPr>
            </w:pPr>
            <w:r w:rsidRPr="00A46755">
              <w:rPr>
                <w:rFonts w:eastAsia="Times New Roman"/>
                <w:sz w:val="18"/>
                <w:szCs w:val="18"/>
              </w:rPr>
              <w:t>(</w:t>
            </w:r>
            <w:proofErr w:type="gramStart"/>
            <w:r w:rsidRPr="00A46755">
              <w:rPr>
                <w:rFonts w:eastAsia="Times New Roman"/>
                <w:sz w:val="18"/>
                <w:szCs w:val="18"/>
              </w:rPr>
              <w:t>median</w:t>
            </w:r>
            <w:proofErr w:type="gramEnd"/>
            <w:r w:rsidRPr="00A46755">
              <w:rPr>
                <w:rFonts w:eastAsia="Times New Roman"/>
                <w:sz w:val="18"/>
                <w:szCs w:val="18"/>
              </w:rPr>
              <w:t xml:space="preserve"> time to steroid treatment from symptom onset not reported)</w:t>
            </w:r>
          </w:p>
        </w:tc>
        <w:tc>
          <w:tcPr>
            <w:tcW w:w="1170" w:type="dxa"/>
          </w:tcPr>
          <w:p w14:paraId="01A2F707" w14:textId="77777777" w:rsidR="007A13A2" w:rsidRPr="00A46755" w:rsidRDefault="007A13A2" w:rsidP="00460762">
            <w:pPr>
              <w:spacing w:after="200" w:line="240" w:lineRule="auto"/>
              <w:rPr>
                <w:rFonts w:eastAsia="Times New Roman"/>
                <w:sz w:val="18"/>
                <w:szCs w:val="18"/>
              </w:rPr>
            </w:pPr>
            <w:r w:rsidRPr="00A46755">
              <w:rPr>
                <w:rFonts w:eastAsia="Times New Roman"/>
                <w:sz w:val="18"/>
                <w:szCs w:val="18"/>
              </w:rPr>
              <w:t>(1) SoC</w:t>
            </w:r>
          </w:p>
        </w:tc>
        <w:tc>
          <w:tcPr>
            <w:tcW w:w="1260" w:type="dxa"/>
          </w:tcPr>
          <w:p w14:paraId="63EB6656" w14:textId="77777777" w:rsidR="007A13A2" w:rsidRPr="00A46755" w:rsidRDefault="007A13A2" w:rsidP="00460762">
            <w:pPr>
              <w:spacing w:after="200" w:line="240" w:lineRule="auto"/>
              <w:rPr>
                <w:rFonts w:eastAsia="Times New Roman" w:cstheme="minorHAnsi"/>
                <w:sz w:val="18"/>
                <w:szCs w:val="18"/>
              </w:rPr>
            </w:pPr>
            <w:r w:rsidRPr="00A46755">
              <w:rPr>
                <w:rFonts w:eastAsia="Times New Roman" w:cstheme="minorHAnsi"/>
                <w:sz w:val="18"/>
                <w:szCs w:val="18"/>
              </w:rPr>
              <w:t xml:space="preserve">Acetaminophen, oxygen therapy, thrombosis prophylaxis with low molecular weight heparin, and antibiotics for co-infection </w:t>
            </w:r>
          </w:p>
          <w:p w14:paraId="58C1E42F" w14:textId="77777777" w:rsidR="007A13A2" w:rsidRPr="00A46755" w:rsidRDefault="007A13A2" w:rsidP="00460762">
            <w:pPr>
              <w:spacing w:after="200" w:line="240" w:lineRule="auto"/>
              <w:rPr>
                <w:rFonts w:eastAsia="Times New Roman" w:cstheme="minorHAnsi"/>
                <w:sz w:val="18"/>
                <w:szCs w:val="18"/>
              </w:rPr>
            </w:pPr>
            <w:r w:rsidRPr="00A46755">
              <w:rPr>
                <w:rFonts w:eastAsia="Times New Roman" w:cstheme="minorHAnsi"/>
                <w:sz w:val="18"/>
                <w:szCs w:val="18"/>
              </w:rPr>
              <w:t xml:space="preserve">AZ, HCQ, lopinavir plus ritonavir </w:t>
            </w:r>
          </w:p>
        </w:tc>
        <w:tc>
          <w:tcPr>
            <w:tcW w:w="1350" w:type="dxa"/>
            <w:tcMar>
              <w:top w:w="100" w:type="dxa"/>
              <w:left w:w="100" w:type="dxa"/>
              <w:bottom w:w="100" w:type="dxa"/>
              <w:right w:w="100" w:type="dxa"/>
            </w:tcMar>
          </w:tcPr>
          <w:p w14:paraId="215BB671" w14:textId="77777777" w:rsidR="007A13A2" w:rsidRPr="00A46755" w:rsidRDefault="007A13A2" w:rsidP="00460762">
            <w:pPr>
              <w:spacing w:after="200" w:line="240" w:lineRule="auto"/>
              <w:rPr>
                <w:rFonts w:asciiTheme="minorHAnsi" w:eastAsia="Times New Roman" w:hAnsiTheme="minorHAnsi" w:cstheme="minorHAnsi"/>
                <w:sz w:val="18"/>
                <w:szCs w:val="18"/>
              </w:rPr>
            </w:pPr>
            <w:r w:rsidRPr="00A46755">
              <w:rPr>
                <w:rFonts w:asciiTheme="minorHAnsi" w:eastAsia="Times New Roman" w:hAnsiTheme="minorHAnsi" w:cstheme="minorHAnsi"/>
                <w:sz w:val="18"/>
                <w:szCs w:val="18"/>
              </w:rPr>
              <w:t>Composite endpoint (in-hospital all-cause mortality, escalation to ICU admission, or progression of respiratory insufficiency that required non-invasive ventilation)</w:t>
            </w:r>
          </w:p>
          <w:p w14:paraId="5672DEF2" w14:textId="77777777" w:rsidR="007A13A2" w:rsidRPr="00A46755" w:rsidRDefault="007A13A2" w:rsidP="00460762">
            <w:pPr>
              <w:spacing w:after="200" w:line="240" w:lineRule="auto"/>
              <w:rPr>
                <w:rFonts w:asciiTheme="minorHAnsi" w:eastAsia="Times New Roman" w:hAnsiTheme="minorHAnsi" w:cstheme="minorHAnsi"/>
                <w:sz w:val="18"/>
                <w:szCs w:val="18"/>
              </w:rPr>
            </w:pPr>
            <w:r w:rsidRPr="00A46755">
              <w:rPr>
                <w:rFonts w:asciiTheme="minorHAnsi" w:eastAsia="Times New Roman" w:hAnsiTheme="minorHAnsi" w:cstheme="minorHAnsi"/>
                <w:sz w:val="18"/>
                <w:szCs w:val="18"/>
              </w:rPr>
              <w:t>Biomarkers levels</w:t>
            </w:r>
          </w:p>
          <w:p w14:paraId="0FDFD836" w14:textId="77777777" w:rsidR="007A13A2" w:rsidRPr="00A46755" w:rsidRDefault="007A13A2" w:rsidP="00460762">
            <w:pPr>
              <w:spacing w:after="200" w:line="240" w:lineRule="auto"/>
              <w:rPr>
                <w:rFonts w:eastAsia="Times New Roman" w:cstheme="minorHAnsi"/>
                <w:sz w:val="18"/>
                <w:szCs w:val="18"/>
              </w:rPr>
            </w:pPr>
            <w:r w:rsidRPr="00A46755">
              <w:rPr>
                <w:rFonts w:asciiTheme="minorHAnsi" w:eastAsia="Times New Roman" w:hAnsiTheme="minorHAnsi" w:cstheme="minorHAnsi"/>
                <w:sz w:val="18"/>
                <w:szCs w:val="18"/>
              </w:rPr>
              <w:t>Adverse events</w:t>
            </w:r>
          </w:p>
        </w:tc>
        <w:tc>
          <w:tcPr>
            <w:tcW w:w="1192" w:type="dxa"/>
            <w:tcMar>
              <w:top w:w="100" w:type="dxa"/>
              <w:left w:w="100" w:type="dxa"/>
              <w:bottom w:w="100" w:type="dxa"/>
              <w:right w:w="100" w:type="dxa"/>
            </w:tcMar>
          </w:tcPr>
          <w:p w14:paraId="1976517B" w14:textId="77777777" w:rsidR="007A13A2" w:rsidRPr="00A46755" w:rsidRDefault="007A13A2" w:rsidP="00460762">
            <w:pPr>
              <w:spacing w:after="200" w:line="240" w:lineRule="auto"/>
              <w:rPr>
                <w:rFonts w:eastAsia="Times New Roman" w:cstheme="minorHAnsi"/>
                <w:sz w:val="18"/>
                <w:szCs w:val="18"/>
              </w:rPr>
            </w:pPr>
            <w:r w:rsidRPr="00A46755">
              <w:rPr>
                <w:rFonts w:asciiTheme="minorHAnsi" w:eastAsia="Times New Roman" w:hAnsiTheme="minorHAnsi" w:cstheme="minorHAnsi"/>
                <w:sz w:val="18"/>
                <w:szCs w:val="18"/>
              </w:rPr>
              <w:t>N/A</w:t>
            </w:r>
          </w:p>
        </w:tc>
      </w:tr>
      <w:tr w:rsidR="007A13A2" w:rsidRPr="00A46755" w14:paraId="79A10BEA" w14:textId="77777777" w:rsidTr="00460762">
        <w:trPr>
          <w:trHeight w:val="495"/>
        </w:trPr>
        <w:tc>
          <w:tcPr>
            <w:tcW w:w="727" w:type="dxa"/>
          </w:tcPr>
          <w:p w14:paraId="5EEF5DB9" w14:textId="77777777" w:rsidR="007A13A2" w:rsidRPr="00A46755" w:rsidRDefault="007A13A2" w:rsidP="00460762">
            <w:pPr>
              <w:spacing w:after="200" w:line="240" w:lineRule="auto"/>
              <w:rPr>
                <w:rFonts w:eastAsia="Times New Roman" w:cstheme="minorHAnsi"/>
                <w:sz w:val="18"/>
                <w:szCs w:val="18"/>
              </w:rPr>
            </w:pPr>
            <w:r w:rsidRPr="00A46755">
              <w:rPr>
                <w:rFonts w:eastAsia="Times New Roman" w:cstheme="minorHAnsi"/>
                <w:sz w:val="18"/>
                <w:szCs w:val="18"/>
              </w:rPr>
              <w:t>Fadel/2020</w:t>
            </w:r>
            <w:r w:rsidRPr="00A46755">
              <w:rPr>
                <w:rFonts w:eastAsia="Times New Roman" w:cstheme="minorHAnsi"/>
                <w:sz w:val="18"/>
                <w:szCs w:val="18"/>
                <w:vertAlign w:val="superscript"/>
              </w:rPr>
              <w:t xml:space="preserve"> 2</w:t>
            </w:r>
          </w:p>
        </w:tc>
        <w:tc>
          <w:tcPr>
            <w:tcW w:w="941" w:type="dxa"/>
          </w:tcPr>
          <w:p w14:paraId="1FEB7214" w14:textId="77777777" w:rsidR="007A13A2" w:rsidRPr="00A46755" w:rsidRDefault="007A13A2" w:rsidP="00460762">
            <w:pPr>
              <w:spacing w:after="200" w:line="240" w:lineRule="auto"/>
              <w:rPr>
                <w:rFonts w:eastAsia="Times New Roman" w:cstheme="minorHAnsi"/>
                <w:sz w:val="18"/>
                <w:szCs w:val="18"/>
              </w:rPr>
            </w:pPr>
            <w:r w:rsidRPr="00A46755">
              <w:rPr>
                <w:rFonts w:eastAsia="Times New Roman" w:cstheme="minorHAnsi"/>
                <w:sz w:val="18"/>
                <w:szCs w:val="18"/>
              </w:rPr>
              <w:t>USA/five hospitals in southeast and south-</w:t>
            </w:r>
            <w:r w:rsidRPr="00A46755">
              <w:rPr>
                <w:rFonts w:eastAsia="Times New Roman" w:cstheme="minorHAnsi"/>
                <w:sz w:val="18"/>
                <w:szCs w:val="18"/>
              </w:rPr>
              <w:lastRenderedPageBreak/>
              <w:t>central Michigan</w:t>
            </w:r>
          </w:p>
          <w:p w14:paraId="26842403" w14:textId="77777777" w:rsidR="007A13A2" w:rsidRPr="00A46755" w:rsidRDefault="007A13A2" w:rsidP="00460762">
            <w:pPr>
              <w:spacing w:after="200" w:line="240" w:lineRule="auto"/>
              <w:rPr>
                <w:rFonts w:eastAsia="Times New Roman" w:cstheme="minorHAnsi"/>
                <w:sz w:val="18"/>
                <w:szCs w:val="18"/>
                <w:lang w:val="es-ES"/>
              </w:rPr>
            </w:pPr>
          </w:p>
        </w:tc>
        <w:tc>
          <w:tcPr>
            <w:tcW w:w="795" w:type="dxa"/>
          </w:tcPr>
          <w:p w14:paraId="36664A27" w14:textId="77777777" w:rsidR="007A13A2" w:rsidRPr="00A46755" w:rsidRDefault="007A13A2" w:rsidP="00460762">
            <w:pPr>
              <w:spacing w:after="200" w:line="240" w:lineRule="auto"/>
              <w:rPr>
                <w:rFonts w:eastAsia="Times New Roman"/>
                <w:sz w:val="18"/>
                <w:szCs w:val="18"/>
              </w:rPr>
            </w:pPr>
            <w:r w:rsidRPr="00A46755">
              <w:rPr>
                <w:rFonts w:eastAsia="Times New Roman"/>
                <w:sz w:val="18"/>
                <w:szCs w:val="18"/>
              </w:rPr>
              <w:lastRenderedPageBreak/>
              <w:t>Quasi-experimental</w:t>
            </w:r>
          </w:p>
        </w:tc>
        <w:tc>
          <w:tcPr>
            <w:tcW w:w="1350" w:type="dxa"/>
          </w:tcPr>
          <w:p w14:paraId="0D378374" w14:textId="77777777" w:rsidR="007A13A2" w:rsidRPr="00A46755" w:rsidRDefault="007A13A2" w:rsidP="00460762">
            <w:pPr>
              <w:spacing w:after="200" w:line="240" w:lineRule="auto"/>
              <w:rPr>
                <w:rFonts w:eastAsia="Times New Roman" w:cstheme="minorHAnsi"/>
                <w:sz w:val="18"/>
                <w:szCs w:val="18"/>
              </w:rPr>
            </w:pPr>
            <w:r w:rsidRPr="00A46755">
              <w:rPr>
                <w:rFonts w:eastAsia="Times New Roman" w:cstheme="minorHAnsi"/>
                <w:sz w:val="18"/>
                <w:szCs w:val="18"/>
              </w:rPr>
              <w:t>213</w:t>
            </w:r>
          </w:p>
          <w:p w14:paraId="25BA9EFB" w14:textId="77777777" w:rsidR="007A13A2" w:rsidRPr="00A46755" w:rsidRDefault="007A13A2" w:rsidP="00460762">
            <w:pPr>
              <w:spacing w:after="200" w:line="240" w:lineRule="auto"/>
              <w:rPr>
                <w:rFonts w:eastAsia="Times New Roman" w:cstheme="minorHAnsi"/>
                <w:sz w:val="18"/>
                <w:szCs w:val="18"/>
              </w:rPr>
            </w:pPr>
            <w:r w:rsidRPr="00A46755">
              <w:rPr>
                <w:rFonts w:eastAsia="Times New Roman" w:cstheme="minorHAnsi"/>
                <w:sz w:val="18"/>
                <w:szCs w:val="18"/>
              </w:rPr>
              <w:t>(132/81)</w:t>
            </w:r>
          </w:p>
        </w:tc>
        <w:tc>
          <w:tcPr>
            <w:tcW w:w="810" w:type="dxa"/>
          </w:tcPr>
          <w:p w14:paraId="0371D29D" w14:textId="77777777" w:rsidR="007A13A2" w:rsidRPr="00A46755" w:rsidRDefault="007A13A2" w:rsidP="00460762">
            <w:pPr>
              <w:spacing w:after="200" w:line="240" w:lineRule="auto"/>
              <w:rPr>
                <w:rFonts w:eastAsia="Times New Roman" w:cstheme="minorHAnsi"/>
                <w:sz w:val="18"/>
                <w:szCs w:val="18"/>
              </w:rPr>
            </w:pPr>
            <w:r w:rsidRPr="00A46755">
              <w:rPr>
                <w:rFonts w:eastAsia="Times New Roman" w:cstheme="minorHAnsi"/>
                <w:sz w:val="18"/>
                <w:szCs w:val="18"/>
              </w:rPr>
              <w:t>48.8</w:t>
            </w:r>
          </w:p>
        </w:tc>
        <w:tc>
          <w:tcPr>
            <w:tcW w:w="1260" w:type="dxa"/>
          </w:tcPr>
          <w:p w14:paraId="40A972D4" w14:textId="77777777" w:rsidR="007A13A2" w:rsidRPr="00A46755" w:rsidRDefault="007A13A2" w:rsidP="00460762">
            <w:pPr>
              <w:spacing w:after="200" w:line="240" w:lineRule="auto"/>
              <w:rPr>
                <w:rFonts w:eastAsia="Times New Roman" w:cstheme="minorHAnsi"/>
                <w:sz w:val="18"/>
                <w:szCs w:val="18"/>
              </w:rPr>
            </w:pPr>
            <w:r w:rsidRPr="00A46755">
              <w:rPr>
                <w:rFonts w:eastAsia="Times New Roman" w:cstheme="minorHAnsi"/>
                <w:sz w:val="18"/>
                <w:szCs w:val="18"/>
              </w:rPr>
              <w:t>Median (IQR): 62 (51-62)</w:t>
            </w:r>
          </w:p>
        </w:tc>
        <w:tc>
          <w:tcPr>
            <w:tcW w:w="1890" w:type="dxa"/>
          </w:tcPr>
          <w:p w14:paraId="3FA705C8" w14:textId="77777777" w:rsidR="007A13A2" w:rsidRPr="00A46755" w:rsidRDefault="007A13A2" w:rsidP="00460762">
            <w:pPr>
              <w:spacing w:after="200" w:line="240" w:lineRule="auto"/>
              <w:rPr>
                <w:rFonts w:eastAsia="Times New Roman"/>
                <w:sz w:val="18"/>
                <w:szCs w:val="18"/>
              </w:rPr>
            </w:pPr>
            <w:r w:rsidRPr="00A46755">
              <w:rPr>
                <w:rFonts w:eastAsia="Times New Roman"/>
                <w:sz w:val="18"/>
                <w:szCs w:val="18"/>
              </w:rPr>
              <w:t>18 years of age or older, had confirmed COVID-19 infection, with</w:t>
            </w:r>
            <w:r w:rsidRPr="00A46755">
              <w:br/>
            </w:r>
            <w:r w:rsidRPr="00A46755">
              <w:rPr>
                <w:rFonts w:eastAsia="Times New Roman"/>
                <w:sz w:val="18"/>
                <w:szCs w:val="18"/>
              </w:rPr>
              <w:t xml:space="preserve">radiographic evidence of bilateral pulmonary </w:t>
            </w:r>
            <w:r w:rsidRPr="00A46755">
              <w:rPr>
                <w:rFonts w:eastAsia="Times New Roman"/>
                <w:sz w:val="18"/>
                <w:szCs w:val="18"/>
              </w:rPr>
              <w:lastRenderedPageBreak/>
              <w:t xml:space="preserve">infiltrates, and required oxygen by nasal cannula, HFNC or mechanical </w:t>
            </w:r>
            <w:proofErr w:type="gramStart"/>
            <w:r w:rsidRPr="00A46755">
              <w:rPr>
                <w:rFonts w:eastAsia="Times New Roman"/>
                <w:sz w:val="18"/>
                <w:szCs w:val="18"/>
              </w:rPr>
              <w:t>ventilation</w:t>
            </w:r>
            <w:proofErr w:type="gramEnd"/>
          </w:p>
          <w:p w14:paraId="0595B089" w14:textId="77777777" w:rsidR="007A13A2" w:rsidRPr="00A46755" w:rsidRDefault="007A13A2" w:rsidP="00460762">
            <w:pPr>
              <w:spacing w:after="200" w:line="240" w:lineRule="auto"/>
              <w:rPr>
                <w:rFonts w:eastAsia="Times New Roman"/>
                <w:sz w:val="18"/>
                <w:szCs w:val="18"/>
              </w:rPr>
            </w:pPr>
            <w:r w:rsidRPr="00A46755">
              <w:rPr>
                <w:rFonts w:eastAsia="Times New Roman"/>
                <w:sz w:val="18"/>
                <w:szCs w:val="18"/>
              </w:rPr>
              <w:t xml:space="preserve">Treatment (at baseline): 9.1% required mechanical </w:t>
            </w:r>
            <w:proofErr w:type="gramStart"/>
            <w:r w:rsidRPr="00A46755">
              <w:rPr>
                <w:rFonts w:eastAsia="Times New Roman"/>
                <w:sz w:val="18"/>
                <w:szCs w:val="18"/>
              </w:rPr>
              <w:t>ventilation</w:t>
            </w:r>
            <w:proofErr w:type="gramEnd"/>
            <w:r w:rsidRPr="00A46755">
              <w:rPr>
                <w:rFonts w:eastAsia="Times New Roman"/>
                <w:sz w:val="18"/>
                <w:szCs w:val="18"/>
              </w:rPr>
              <w:t xml:space="preserve"> </w:t>
            </w:r>
          </w:p>
          <w:p w14:paraId="5AA23A4E" w14:textId="77777777" w:rsidR="007A13A2" w:rsidRPr="00A46755" w:rsidRDefault="007A13A2" w:rsidP="00460762">
            <w:pPr>
              <w:spacing w:after="200" w:line="240" w:lineRule="auto"/>
              <w:rPr>
                <w:rFonts w:eastAsia="Times New Roman"/>
                <w:sz w:val="18"/>
                <w:szCs w:val="18"/>
              </w:rPr>
            </w:pPr>
            <w:r w:rsidRPr="00A46755">
              <w:rPr>
                <w:rFonts w:eastAsia="Times New Roman"/>
                <w:sz w:val="18"/>
                <w:szCs w:val="18"/>
              </w:rPr>
              <w:t xml:space="preserve">Comparator (at baseline): 12.3% required mechanical </w:t>
            </w:r>
            <w:proofErr w:type="gramStart"/>
            <w:r w:rsidRPr="00A46755">
              <w:rPr>
                <w:rFonts w:eastAsia="Times New Roman"/>
                <w:sz w:val="18"/>
                <w:szCs w:val="18"/>
              </w:rPr>
              <w:t>ventilation</w:t>
            </w:r>
            <w:proofErr w:type="gramEnd"/>
          </w:p>
          <w:p w14:paraId="1CA3A791" w14:textId="77777777" w:rsidR="007A13A2" w:rsidRPr="00A46755" w:rsidRDefault="007A13A2" w:rsidP="00460762">
            <w:pPr>
              <w:spacing w:after="200" w:line="240" w:lineRule="auto"/>
              <w:rPr>
                <w:rFonts w:eastAsia="Times New Roman" w:cstheme="minorHAnsi"/>
                <w:sz w:val="18"/>
                <w:szCs w:val="18"/>
              </w:rPr>
            </w:pPr>
          </w:p>
        </w:tc>
        <w:tc>
          <w:tcPr>
            <w:tcW w:w="1440" w:type="dxa"/>
          </w:tcPr>
          <w:p w14:paraId="4D60285D" w14:textId="77777777" w:rsidR="007A13A2" w:rsidRPr="00A46755" w:rsidRDefault="007A13A2" w:rsidP="00460762">
            <w:pPr>
              <w:spacing w:after="200" w:line="240" w:lineRule="auto"/>
              <w:rPr>
                <w:rFonts w:eastAsia="Times New Roman" w:cstheme="minorHAnsi"/>
                <w:sz w:val="18"/>
                <w:szCs w:val="18"/>
              </w:rPr>
            </w:pPr>
            <w:r w:rsidRPr="00A46755">
              <w:rPr>
                <w:rFonts w:eastAsia="Times New Roman" w:cstheme="minorHAnsi"/>
                <w:sz w:val="18"/>
                <w:szCs w:val="18"/>
              </w:rPr>
              <w:lastRenderedPageBreak/>
              <w:t xml:space="preserve">Methylprednisolone 0.5 to 1mg/kg twice daily divided into 2 </w:t>
            </w:r>
            <w:proofErr w:type="gramStart"/>
            <w:r w:rsidRPr="00A46755">
              <w:rPr>
                <w:rFonts w:eastAsia="Times New Roman" w:cstheme="minorHAnsi"/>
                <w:sz w:val="18"/>
                <w:szCs w:val="18"/>
              </w:rPr>
              <w:t>doses</w:t>
            </w:r>
            <w:proofErr w:type="gramEnd"/>
            <w:r w:rsidRPr="00A46755">
              <w:rPr>
                <w:rFonts w:eastAsia="Times New Roman" w:cstheme="minorHAnsi"/>
                <w:sz w:val="18"/>
                <w:szCs w:val="18"/>
              </w:rPr>
              <w:t xml:space="preserve"> </w:t>
            </w:r>
          </w:p>
          <w:p w14:paraId="7CF94495" w14:textId="77777777" w:rsidR="007A13A2" w:rsidRPr="00A46755" w:rsidRDefault="007A13A2" w:rsidP="00460762">
            <w:pPr>
              <w:spacing w:after="200" w:line="240" w:lineRule="auto"/>
              <w:rPr>
                <w:rFonts w:eastAsia="Times New Roman" w:cstheme="minorHAnsi"/>
                <w:sz w:val="18"/>
                <w:szCs w:val="18"/>
              </w:rPr>
            </w:pPr>
            <w:r w:rsidRPr="00A46755">
              <w:rPr>
                <w:rFonts w:eastAsia="Times New Roman" w:cstheme="minorHAnsi"/>
                <w:sz w:val="18"/>
                <w:szCs w:val="18"/>
              </w:rPr>
              <w:lastRenderedPageBreak/>
              <w:t>3 days for patients with moderate COVID</w:t>
            </w:r>
          </w:p>
          <w:p w14:paraId="01C90F4E" w14:textId="77777777" w:rsidR="007A13A2" w:rsidRPr="00A46755" w:rsidRDefault="007A13A2" w:rsidP="00460762">
            <w:pPr>
              <w:spacing w:after="200" w:line="240" w:lineRule="auto"/>
              <w:rPr>
                <w:rFonts w:eastAsia="Times New Roman" w:cstheme="minorHAnsi"/>
                <w:sz w:val="18"/>
                <w:szCs w:val="18"/>
              </w:rPr>
            </w:pPr>
            <w:r w:rsidRPr="00A46755">
              <w:rPr>
                <w:rFonts w:eastAsia="Times New Roman" w:cstheme="minorHAnsi"/>
                <w:sz w:val="18"/>
                <w:szCs w:val="18"/>
              </w:rPr>
              <w:t>3 to 7 days for ICU patients</w:t>
            </w:r>
          </w:p>
          <w:p w14:paraId="195CCA87" w14:textId="77777777" w:rsidR="007A13A2" w:rsidRPr="00A46755" w:rsidRDefault="007A13A2" w:rsidP="00460762">
            <w:pPr>
              <w:spacing w:after="200" w:line="240" w:lineRule="auto"/>
              <w:rPr>
                <w:rFonts w:eastAsia="Times New Roman" w:cstheme="minorHAnsi"/>
                <w:sz w:val="18"/>
                <w:szCs w:val="18"/>
              </w:rPr>
            </w:pPr>
          </w:p>
          <w:p w14:paraId="17D25073" w14:textId="77777777" w:rsidR="007A13A2" w:rsidRPr="00A46755" w:rsidRDefault="007A13A2" w:rsidP="00460762">
            <w:pPr>
              <w:spacing w:after="200" w:line="240" w:lineRule="auto"/>
              <w:rPr>
                <w:rFonts w:eastAsia="Times New Roman" w:cstheme="minorHAnsi"/>
                <w:sz w:val="18"/>
                <w:szCs w:val="18"/>
              </w:rPr>
            </w:pPr>
            <w:r w:rsidRPr="00A46755">
              <w:rPr>
                <w:rFonts w:eastAsia="Times New Roman"/>
                <w:sz w:val="18"/>
                <w:szCs w:val="18"/>
              </w:rPr>
              <w:t>(</w:t>
            </w:r>
            <w:proofErr w:type="gramStart"/>
            <w:r w:rsidRPr="00A46755">
              <w:rPr>
                <w:rFonts w:eastAsia="Times New Roman"/>
                <w:sz w:val="18"/>
                <w:szCs w:val="18"/>
              </w:rPr>
              <w:t>median</w:t>
            </w:r>
            <w:proofErr w:type="gramEnd"/>
            <w:r w:rsidRPr="00A46755">
              <w:rPr>
                <w:rFonts w:eastAsia="Times New Roman"/>
                <w:sz w:val="18"/>
                <w:szCs w:val="18"/>
              </w:rPr>
              <w:t xml:space="preserve"> time to steroid treatment from symptom onset of 8 days)</w:t>
            </w:r>
          </w:p>
        </w:tc>
        <w:tc>
          <w:tcPr>
            <w:tcW w:w="1170" w:type="dxa"/>
          </w:tcPr>
          <w:p w14:paraId="7A65071E" w14:textId="77777777" w:rsidR="007A13A2" w:rsidRPr="00A46755" w:rsidRDefault="007A13A2" w:rsidP="00460762">
            <w:pPr>
              <w:spacing w:after="200" w:line="240" w:lineRule="auto"/>
              <w:rPr>
                <w:rFonts w:eastAsia="Times New Roman"/>
                <w:sz w:val="18"/>
                <w:szCs w:val="18"/>
              </w:rPr>
            </w:pPr>
            <w:r w:rsidRPr="00A46755">
              <w:rPr>
                <w:rFonts w:eastAsia="Times New Roman"/>
                <w:sz w:val="18"/>
                <w:szCs w:val="18"/>
              </w:rPr>
              <w:lastRenderedPageBreak/>
              <w:t xml:space="preserve">(1) SoC: with or without a combination of lopinavir/ritonavir and </w:t>
            </w:r>
            <w:r w:rsidRPr="00A46755">
              <w:rPr>
                <w:rFonts w:eastAsia="Times New Roman"/>
                <w:sz w:val="18"/>
                <w:szCs w:val="18"/>
              </w:rPr>
              <w:lastRenderedPageBreak/>
              <w:t>ribavirin or HCQ</w:t>
            </w:r>
          </w:p>
        </w:tc>
        <w:tc>
          <w:tcPr>
            <w:tcW w:w="1260" w:type="dxa"/>
          </w:tcPr>
          <w:p w14:paraId="10CF04B6" w14:textId="77777777" w:rsidR="007A13A2" w:rsidRPr="00A46755" w:rsidRDefault="007A13A2" w:rsidP="00460762">
            <w:pPr>
              <w:spacing w:after="200" w:line="240" w:lineRule="auto"/>
              <w:rPr>
                <w:rFonts w:eastAsia="Times New Roman"/>
                <w:sz w:val="18"/>
                <w:szCs w:val="18"/>
              </w:rPr>
            </w:pPr>
            <w:r w:rsidRPr="00A46755">
              <w:rPr>
                <w:rFonts w:eastAsia="Times New Roman"/>
                <w:sz w:val="18"/>
                <w:szCs w:val="18"/>
              </w:rPr>
              <w:lastRenderedPageBreak/>
              <w:t xml:space="preserve">HCQ 400 mg twice daily for 2 doses on day 1, followed by 200 mg twice </w:t>
            </w:r>
            <w:r w:rsidRPr="00A46755">
              <w:rPr>
                <w:rFonts w:eastAsia="Times New Roman"/>
                <w:sz w:val="18"/>
                <w:szCs w:val="18"/>
              </w:rPr>
              <w:lastRenderedPageBreak/>
              <w:t>daily on days 2-5</w:t>
            </w:r>
          </w:p>
          <w:p w14:paraId="70F46280" w14:textId="77777777" w:rsidR="007A13A2" w:rsidRPr="00A46755" w:rsidRDefault="007A13A2" w:rsidP="00460762">
            <w:pPr>
              <w:spacing w:after="200" w:line="240" w:lineRule="auto"/>
              <w:rPr>
                <w:rFonts w:eastAsia="Times New Roman"/>
                <w:sz w:val="18"/>
                <w:szCs w:val="18"/>
              </w:rPr>
            </w:pPr>
            <w:r w:rsidRPr="00A46755">
              <w:rPr>
                <w:rFonts w:eastAsia="Times New Roman"/>
                <w:sz w:val="18"/>
                <w:szCs w:val="18"/>
              </w:rPr>
              <w:t>SoC: supplemental oxygen, HFNC, invasive ventilation, antibiotic agents, antiviral agents, vasopressor support, and renal-replacement therapy</w:t>
            </w:r>
          </w:p>
        </w:tc>
        <w:tc>
          <w:tcPr>
            <w:tcW w:w="1350" w:type="dxa"/>
            <w:tcMar>
              <w:top w:w="100" w:type="dxa"/>
              <w:left w:w="100" w:type="dxa"/>
              <w:bottom w:w="100" w:type="dxa"/>
              <w:right w:w="100" w:type="dxa"/>
            </w:tcMar>
          </w:tcPr>
          <w:p w14:paraId="6A73C507" w14:textId="77777777" w:rsidR="007A13A2" w:rsidRPr="00A46755" w:rsidRDefault="007A13A2" w:rsidP="00460762">
            <w:pPr>
              <w:spacing w:after="200" w:line="240" w:lineRule="auto"/>
              <w:rPr>
                <w:rFonts w:eastAsia="Times New Roman" w:cstheme="minorHAnsi"/>
                <w:sz w:val="18"/>
                <w:szCs w:val="18"/>
              </w:rPr>
            </w:pPr>
            <w:r w:rsidRPr="00A46755">
              <w:rPr>
                <w:rFonts w:eastAsia="Times New Roman" w:cstheme="minorHAnsi"/>
                <w:sz w:val="18"/>
                <w:szCs w:val="18"/>
              </w:rPr>
              <w:lastRenderedPageBreak/>
              <w:t>Mortality</w:t>
            </w:r>
          </w:p>
          <w:p w14:paraId="765A998C" w14:textId="77777777" w:rsidR="007A13A2" w:rsidRPr="00A46755" w:rsidRDefault="007A13A2" w:rsidP="00460762">
            <w:pPr>
              <w:spacing w:after="200" w:line="240" w:lineRule="auto"/>
              <w:rPr>
                <w:rFonts w:eastAsia="Times New Roman" w:cstheme="minorHAnsi"/>
                <w:sz w:val="18"/>
                <w:szCs w:val="18"/>
              </w:rPr>
            </w:pPr>
            <w:r w:rsidRPr="00A46755">
              <w:rPr>
                <w:rFonts w:eastAsia="Times New Roman" w:cstheme="minorHAnsi"/>
                <w:sz w:val="18"/>
                <w:szCs w:val="18"/>
              </w:rPr>
              <w:t xml:space="preserve">Respiratory failure requiring </w:t>
            </w:r>
            <w:r w:rsidRPr="00A46755">
              <w:rPr>
                <w:rFonts w:eastAsia="Times New Roman" w:cstheme="minorHAnsi"/>
                <w:sz w:val="18"/>
                <w:szCs w:val="18"/>
              </w:rPr>
              <w:lastRenderedPageBreak/>
              <w:t xml:space="preserve">mechanical </w:t>
            </w:r>
            <w:proofErr w:type="gramStart"/>
            <w:r w:rsidRPr="00A46755">
              <w:rPr>
                <w:rFonts w:eastAsia="Times New Roman" w:cstheme="minorHAnsi"/>
                <w:sz w:val="18"/>
                <w:szCs w:val="18"/>
              </w:rPr>
              <w:t>ventilation</w:t>
            </w:r>
            <w:proofErr w:type="gramEnd"/>
          </w:p>
          <w:p w14:paraId="0CC1814E" w14:textId="77777777" w:rsidR="007A13A2" w:rsidRPr="00A46755" w:rsidRDefault="007A13A2" w:rsidP="00460762">
            <w:pPr>
              <w:spacing w:after="200" w:line="240" w:lineRule="auto"/>
              <w:rPr>
                <w:rFonts w:eastAsia="Times New Roman" w:cstheme="minorHAnsi"/>
                <w:sz w:val="18"/>
                <w:szCs w:val="18"/>
              </w:rPr>
            </w:pPr>
            <w:r w:rsidRPr="00A46755">
              <w:rPr>
                <w:rFonts w:eastAsia="Times New Roman" w:cstheme="minorHAnsi"/>
                <w:sz w:val="18"/>
                <w:szCs w:val="18"/>
              </w:rPr>
              <w:t>ARDS</w:t>
            </w:r>
          </w:p>
          <w:p w14:paraId="768A411C" w14:textId="77777777" w:rsidR="007A13A2" w:rsidRPr="00A46755" w:rsidRDefault="007A13A2" w:rsidP="00460762">
            <w:pPr>
              <w:spacing w:after="200" w:line="240" w:lineRule="auto"/>
              <w:rPr>
                <w:rFonts w:eastAsia="Times New Roman" w:cstheme="minorHAnsi"/>
                <w:sz w:val="18"/>
                <w:szCs w:val="18"/>
              </w:rPr>
            </w:pPr>
            <w:r w:rsidRPr="00A46755">
              <w:rPr>
                <w:rFonts w:eastAsia="Times New Roman" w:cstheme="minorHAnsi"/>
                <w:sz w:val="18"/>
                <w:szCs w:val="18"/>
              </w:rPr>
              <w:t>Length of hospital stay (days)</w:t>
            </w:r>
          </w:p>
          <w:p w14:paraId="30F0BCB8" w14:textId="77777777" w:rsidR="007A13A2" w:rsidRPr="00A46755" w:rsidRDefault="007A13A2" w:rsidP="00460762">
            <w:pPr>
              <w:spacing w:after="200" w:line="240" w:lineRule="auto"/>
              <w:rPr>
                <w:rFonts w:eastAsia="Times New Roman" w:cstheme="minorHAnsi"/>
                <w:sz w:val="18"/>
                <w:szCs w:val="18"/>
              </w:rPr>
            </w:pPr>
            <w:r w:rsidRPr="00A46755">
              <w:rPr>
                <w:rFonts w:eastAsia="Times New Roman" w:cstheme="minorHAnsi"/>
                <w:sz w:val="18"/>
                <w:szCs w:val="18"/>
              </w:rPr>
              <w:t>Duration of mechanical ventilation (days)</w:t>
            </w:r>
          </w:p>
          <w:p w14:paraId="1E84A7E7" w14:textId="77777777" w:rsidR="007A13A2" w:rsidRPr="00A46755" w:rsidRDefault="007A13A2" w:rsidP="00460762">
            <w:pPr>
              <w:spacing w:after="200" w:line="240" w:lineRule="auto"/>
              <w:rPr>
                <w:rFonts w:eastAsia="Times New Roman" w:cstheme="minorHAnsi"/>
                <w:sz w:val="18"/>
                <w:szCs w:val="18"/>
              </w:rPr>
            </w:pPr>
            <w:r w:rsidRPr="00A46755">
              <w:rPr>
                <w:rFonts w:eastAsia="Times New Roman" w:cstheme="minorHAnsi"/>
                <w:sz w:val="18"/>
                <w:szCs w:val="18"/>
              </w:rPr>
              <w:t xml:space="preserve">Shock </w:t>
            </w:r>
          </w:p>
          <w:p w14:paraId="622A0037" w14:textId="77777777" w:rsidR="007A13A2" w:rsidRPr="00A46755" w:rsidRDefault="007A13A2" w:rsidP="00460762">
            <w:pPr>
              <w:spacing w:after="200" w:line="240" w:lineRule="auto"/>
              <w:rPr>
                <w:rFonts w:eastAsia="Times New Roman" w:cstheme="minorHAnsi"/>
                <w:sz w:val="18"/>
                <w:szCs w:val="18"/>
              </w:rPr>
            </w:pPr>
            <w:r w:rsidRPr="00A46755">
              <w:rPr>
                <w:rFonts w:eastAsia="Times New Roman" w:cstheme="minorHAnsi"/>
                <w:sz w:val="18"/>
                <w:szCs w:val="18"/>
              </w:rPr>
              <w:t>AKI</w:t>
            </w:r>
          </w:p>
          <w:p w14:paraId="005719C6" w14:textId="77777777" w:rsidR="007A13A2" w:rsidRPr="00A46755" w:rsidRDefault="007A13A2" w:rsidP="00460762">
            <w:pPr>
              <w:spacing w:after="200" w:line="240" w:lineRule="auto"/>
              <w:rPr>
                <w:rFonts w:eastAsia="Times New Roman" w:cstheme="minorHAnsi"/>
                <w:sz w:val="18"/>
                <w:szCs w:val="18"/>
              </w:rPr>
            </w:pPr>
            <w:r w:rsidRPr="00A46755">
              <w:rPr>
                <w:rFonts w:eastAsia="Times New Roman" w:cstheme="minorHAnsi"/>
                <w:sz w:val="18"/>
                <w:szCs w:val="18"/>
              </w:rPr>
              <w:t>Adverse events</w:t>
            </w:r>
          </w:p>
        </w:tc>
        <w:tc>
          <w:tcPr>
            <w:tcW w:w="1192" w:type="dxa"/>
            <w:tcMar>
              <w:top w:w="100" w:type="dxa"/>
              <w:left w:w="100" w:type="dxa"/>
              <w:bottom w:w="100" w:type="dxa"/>
              <w:right w:w="100" w:type="dxa"/>
            </w:tcMar>
          </w:tcPr>
          <w:p w14:paraId="2884619A" w14:textId="77777777" w:rsidR="007A13A2" w:rsidRPr="00A46755" w:rsidRDefault="007A13A2" w:rsidP="00460762">
            <w:pPr>
              <w:spacing w:after="200" w:line="240" w:lineRule="auto"/>
              <w:rPr>
                <w:rFonts w:eastAsia="Times New Roman" w:cstheme="minorHAnsi"/>
                <w:sz w:val="18"/>
                <w:szCs w:val="18"/>
              </w:rPr>
            </w:pPr>
            <w:r w:rsidRPr="00A46755">
              <w:rPr>
                <w:rFonts w:eastAsia="Times New Roman" w:cstheme="minorHAnsi"/>
                <w:sz w:val="18"/>
                <w:szCs w:val="18"/>
              </w:rPr>
              <w:lastRenderedPageBreak/>
              <w:t>N/A</w:t>
            </w:r>
          </w:p>
        </w:tc>
      </w:tr>
      <w:tr w:rsidR="007A13A2" w:rsidRPr="00A46755" w14:paraId="12D8017C" w14:textId="77777777" w:rsidTr="00460762">
        <w:trPr>
          <w:trHeight w:val="495"/>
        </w:trPr>
        <w:tc>
          <w:tcPr>
            <w:tcW w:w="727" w:type="dxa"/>
          </w:tcPr>
          <w:p w14:paraId="3252F65C" w14:textId="77777777" w:rsidR="007A13A2" w:rsidRPr="00A46755" w:rsidRDefault="007A13A2" w:rsidP="00460762">
            <w:pPr>
              <w:spacing w:after="200" w:line="240" w:lineRule="auto"/>
              <w:rPr>
                <w:rFonts w:eastAsia="Times New Roman" w:cstheme="minorHAnsi"/>
                <w:sz w:val="18"/>
                <w:szCs w:val="18"/>
                <w:vertAlign w:val="superscript"/>
              </w:rPr>
            </w:pPr>
            <w:r w:rsidRPr="00A46755">
              <w:rPr>
                <w:rFonts w:eastAsia="Times New Roman" w:cstheme="minorHAnsi"/>
                <w:sz w:val="18"/>
                <w:szCs w:val="18"/>
              </w:rPr>
              <w:t>Fernandez-Cruz/ 2020</w:t>
            </w:r>
            <w:r w:rsidRPr="00A46755">
              <w:rPr>
                <w:rFonts w:eastAsia="Times New Roman" w:cstheme="minorHAnsi"/>
                <w:sz w:val="18"/>
                <w:szCs w:val="18"/>
                <w:vertAlign w:val="superscript"/>
              </w:rPr>
              <w:t xml:space="preserve"> 3</w:t>
            </w:r>
          </w:p>
        </w:tc>
        <w:tc>
          <w:tcPr>
            <w:tcW w:w="941" w:type="dxa"/>
          </w:tcPr>
          <w:p w14:paraId="33C2060F" w14:textId="77777777" w:rsidR="007A13A2" w:rsidRPr="00A46755" w:rsidRDefault="007A13A2" w:rsidP="00460762">
            <w:pPr>
              <w:spacing w:after="200" w:line="240" w:lineRule="auto"/>
              <w:rPr>
                <w:rFonts w:eastAsia="Times New Roman" w:cstheme="minorHAnsi"/>
                <w:sz w:val="18"/>
                <w:szCs w:val="18"/>
                <w:lang w:val="es-ES"/>
              </w:rPr>
            </w:pPr>
            <w:proofErr w:type="spellStart"/>
            <w:r w:rsidRPr="00A46755">
              <w:rPr>
                <w:rFonts w:eastAsia="Times New Roman" w:cstheme="minorHAnsi"/>
                <w:sz w:val="18"/>
                <w:szCs w:val="18"/>
                <w:lang w:val="es-ES"/>
              </w:rPr>
              <w:t>Spain</w:t>
            </w:r>
            <w:proofErr w:type="spellEnd"/>
            <w:r w:rsidRPr="00A46755">
              <w:rPr>
                <w:rFonts w:eastAsia="Times New Roman" w:cstheme="minorHAnsi"/>
                <w:sz w:val="18"/>
                <w:szCs w:val="18"/>
                <w:lang w:val="es-ES"/>
              </w:rPr>
              <w:t>/ Hospital Puerta de Hierro-Majadahonda</w:t>
            </w:r>
          </w:p>
        </w:tc>
        <w:tc>
          <w:tcPr>
            <w:tcW w:w="795" w:type="dxa"/>
          </w:tcPr>
          <w:p w14:paraId="356F30BC" w14:textId="77777777" w:rsidR="007A13A2" w:rsidRPr="00A46755" w:rsidRDefault="007A13A2" w:rsidP="00460762">
            <w:pPr>
              <w:spacing w:after="200" w:line="240" w:lineRule="auto"/>
              <w:rPr>
                <w:rFonts w:eastAsia="Times New Roman"/>
                <w:sz w:val="18"/>
                <w:szCs w:val="18"/>
              </w:rPr>
            </w:pPr>
            <w:r w:rsidRPr="00A46755">
              <w:rPr>
                <w:rFonts w:eastAsia="Times New Roman"/>
                <w:sz w:val="18"/>
                <w:szCs w:val="18"/>
              </w:rPr>
              <w:t>Retrospective cohort</w:t>
            </w:r>
          </w:p>
        </w:tc>
        <w:tc>
          <w:tcPr>
            <w:tcW w:w="1350" w:type="dxa"/>
          </w:tcPr>
          <w:p w14:paraId="05AD7A7C" w14:textId="77777777" w:rsidR="007A13A2" w:rsidRPr="00A46755" w:rsidRDefault="007A13A2" w:rsidP="00460762">
            <w:pPr>
              <w:spacing w:after="200" w:line="240" w:lineRule="auto"/>
              <w:rPr>
                <w:rFonts w:eastAsia="Times New Roman" w:cstheme="minorHAnsi"/>
                <w:sz w:val="18"/>
                <w:szCs w:val="18"/>
              </w:rPr>
            </w:pPr>
            <w:r w:rsidRPr="00A46755">
              <w:rPr>
                <w:rFonts w:eastAsia="Times New Roman" w:cstheme="minorHAnsi"/>
                <w:sz w:val="18"/>
                <w:szCs w:val="18"/>
              </w:rPr>
              <w:t>463</w:t>
            </w:r>
          </w:p>
          <w:p w14:paraId="6B40A6E2" w14:textId="77777777" w:rsidR="007A13A2" w:rsidRPr="00A46755" w:rsidRDefault="007A13A2" w:rsidP="00460762">
            <w:pPr>
              <w:spacing w:after="200" w:line="240" w:lineRule="auto"/>
              <w:rPr>
                <w:rFonts w:eastAsia="Times New Roman" w:cstheme="minorHAnsi"/>
                <w:sz w:val="18"/>
                <w:szCs w:val="18"/>
              </w:rPr>
            </w:pPr>
            <w:r w:rsidRPr="00A46755">
              <w:rPr>
                <w:rFonts w:eastAsia="Times New Roman" w:cstheme="minorHAnsi"/>
                <w:sz w:val="18"/>
                <w:szCs w:val="18"/>
              </w:rPr>
              <w:t>(396/67)</w:t>
            </w:r>
          </w:p>
        </w:tc>
        <w:tc>
          <w:tcPr>
            <w:tcW w:w="810" w:type="dxa"/>
          </w:tcPr>
          <w:p w14:paraId="2A4F2304" w14:textId="77777777" w:rsidR="007A13A2" w:rsidRPr="00A46755" w:rsidRDefault="007A13A2" w:rsidP="00460762">
            <w:pPr>
              <w:spacing w:after="200" w:line="240" w:lineRule="auto"/>
              <w:rPr>
                <w:rFonts w:eastAsia="Times New Roman" w:cstheme="minorHAnsi"/>
                <w:sz w:val="18"/>
                <w:szCs w:val="18"/>
              </w:rPr>
            </w:pPr>
            <w:r w:rsidRPr="00A46755">
              <w:rPr>
                <w:rFonts w:eastAsia="Times New Roman" w:cstheme="minorHAnsi"/>
                <w:sz w:val="18"/>
                <w:szCs w:val="18"/>
              </w:rPr>
              <w:t>31.5</w:t>
            </w:r>
          </w:p>
        </w:tc>
        <w:tc>
          <w:tcPr>
            <w:tcW w:w="1260" w:type="dxa"/>
          </w:tcPr>
          <w:p w14:paraId="38FF0E1F" w14:textId="77777777" w:rsidR="007A13A2" w:rsidRPr="00A46755" w:rsidRDefault="007A13A2" w:rsidP="00460762">
            <w:pPr>
              <w:spacing w:after="200" w:line="240" w:lineRule="auto"/>
              <w:rPr>
                <w:rFonts w:eastAsia="Times New Roman" w:cstheme="minorHAnsi"/>
                <w:sz w:val="18"/>
                <w:szCs w:val="18"/>
              </w:rPr>
            </w:pPr>
            <w:r w:rsidRPr="00A46755">
              <w:rPr>
                <w:rFonts w:eastAsia="Times New Roman" w:cstheme="minorHAnsi"/>
                <w:sz w:val="18"/>
                <w:szCs w:val="18"/>
              </w:rPr>
              <w:t xml:space="preserve"> Mean (SD): 65.4 (12.9) in intervention/ 68.1 (15.7) in comparator</w:t>
            </w:r>
          </w:p>
        </w:tc>
        <w:tc>
          <w:tcPr>
            <w:tcW w:w="1890" w:type="dxa"/>
          </w:tcPr>
          <w:p w14:paraId="2BCD818C" w14:textId="77777777" w:rsidR="007A13A2" w:rsidRPr="00A46755" w:rsidRDefault="007A13A2" w:rsidP="00460762">
            <w:pPr>
              <w:spacing w:after="200" w:line="240" w:lineRule="auto"/>
              <w:rPr>
                <w:rFonts w:eastAsia="Times New Roman" w:cstheme="minorHAnsi"/>
                <w:sz w:val="18"/>
                <w:szCs w:val="18"/>
              </w:rPr>
            </w:pPr>
            <w:r w:rsidRPr="00A46755">
              <w:rPr>
                <w:rFonts w:eastAsia="Times New Roman" w:cstheme="minorHAnsi"/>
                <w:sz w:val="18"/>
                <w:szCs w:val="18"/>
              </w:rPr>
              <w:t>Adult patients diagnosed with COVID-19 pneumonia according to WHO interim guidance, and complicated with ARDS and/or an hyperinflammatory syndrome</w:t>
            </w:r>
          </w:p>
        </w:tc>
        <w:tc>
          <w:tcPr>
            <w:tcW w:w="1440" w:type="dxa"/>
          </w:tcPr>
          <w:p w14:paraId="05EF99E0" w14:textId="77777777" w:rsidR="007A13A2" w:rsidRPr="00A46755" w:rsidRDefault="007A13A2" w:rsidP="00460762">
            <w:pPr>
              <w:spacing w:after="200" w:line="240" w:lineRule="auto"/>
              <w:rPr>
                <w:rFonts w:eastAsia="Times New Roman" w:cstheme="minorHAnsi"/>
                <w:sz w:val="18"/>
                <w:szCs w:val="18"/>
              </w:rPr>
            </w:pPr>
            <w:r w:rsidRPr="00A46755">
              <w:rPr>
                <w:rFonts w:eastAsia="Times New Roman" w:cstheme="minorHAnsi"/>
                <w:sz w:val="18"/>
                <w:szCs w:val="18"/>
              </w:rPr>
              <w:t>IV methylprednisolone or equivalent 1 mg/kg/day (78.3%), or IV methylprednisolone pulses (21.7%, for a median of 3 pulses)</w:t>
            </w:r>
          </w:p>
          <w:p w14:paraId="53EEDAD3" w14:textId="77777777" w:rsidR="007A13A2" w:rsidRPr="00A46755" w:rsidRDefault="007A13A2" w:rsidP="00460762">
            <w:pPr>
              <w:spacing w:after="200" w:line="240" w:lineRule="auto"/>
              <w:rPr>
                <w:rFonts w:eastAsia="Times New Roman" w:cstheme="minorHAnsi"/>
                <w:sz w:val="18"/>
                <w:szCs w:val="18"/>
              </w:rPr>
            </w:pPr>
            <w:r w:rsidRPr="00A46755">
              <w:rPr>
                <w:rFonts w:eastAsia="Times New Roman"/>
                <w:sz w:val="18"/>
                <w:szCs w:val="18"/>
              </w:rPr>
              <w:t>(</w:t>
            </w:r>
            <w:proofErr w:type="gramStart"/>
            <w:r w:rsidRPr="00A46755">
              <w:rPr>
                <w:rFonts w:eastAsia="Times New Roman"/>
                <w:sz w:val="18"/>
                <w:szCs w:val="18"/>
              </w:rPr>
              <w:t>median</w:t>
            </w:r>
            <w:proofErr w:type="gramEnd"/>
            <w:r w:rsidRPr="00A46755">
              <w:rPr>
                <w:rFonts w:eastAsia="Times New Roman"/>
                <w:sz w:val="18"/>
                <w:szCs w:val="18"/>
              </w:rPr>
              <w:t xml:space="preserve"> time to steroid treatment from symptom onset </w:t>
            </w:r>
            <w:r w:rsidRPr="00A46755">
              <w:rPr>
                <w:rFonts w:eastAsia="Times New Roman"/>
                <w:sz w:val="18"/>
                <w:szCs w:val="18"/>
              </w:rPr>
              <w:lastRenderedPageBreak/>
              <w:t>of 10 (8-13) days)</w:t>
            </w:r>
          </w:p>
        </w:tc>
        <w:tc>
          <w:tcPr>
            <w:tcW w:w="1170" w:type="dxa"/>
          </w:tcPr>
          <w:p w14:paraId="0D4DB030" w14:textId="77777777" w:rsidR="007A13A2" w:rsidRPr="00A46755" w:rsidRDefault="007A13A2" w:rsidP="00460762">
            <w:pPr>
              <w:spacing w:after="200" w:line="240" w:lineRule="auto"/>
              <w:rPr>
                <w:rFonts w:eastAsia="Times New Roman"/>
                <w:sz w:val="18"/>
                <w:szCs w:val="18"/>
              </w:rPr>
            </w:pPr>
            <w:r w:rsidRPr="00A46755">
              <w:rPr>
                <w:rFonts w:eastAsia="Times New Roman"/>
                <w:sz w:val="18"/>
                <w:szCs w:val="18"/>
              </w:rPr>
              <w:lastRenderedPageBreak/>
              <w:t>(1) SoC</w:t>
            </w:r>
          </w:p>
        </w:tc>
        <w:tc>
          <w:tcPr>
            <w:tcW w:w="1260" w:type="dxa"/>
          </w:tcPr>
          <w:p w14:paraId="786CEB9D" w14:textId="77777777" w:rsidR="007A13A2" w:rsidRPr="00A46755" w:rsidRDefault="007A13A2" w:rsidP="00460762">
            <w:pPr>
              <w:spacing w:after="200" w:line="240" w:lineRule="auto"/>
              <w:rPr>
                <w:rFonts w:eastAsia="Times New Roman"/>
                <w:sz w:val="18"/>
                <w:szCs w:val="18"/>
              </w:rPr>
            </w:pPr>
            <w:r w:rsidRPr="00A46755">
              <w:rPr>
                <w:rFonts w:eastAsia="Times New Roman"/>
                <w:sz w:val="18"/>
                <w:szCs w:val="18"/>
              </w:rPr>
              <w:t>HCQ, AZ, Lopinavir/Ritonavir, Interferon, TCZ, Anakinra, ritonavir-boosted darunavir/doxycycline/clarithromycin and other antibiotics</w:t>
            </w:r>
          </w:p>
        </w:tc>
        <w:tc>
          <w:tcPr>
            <w:tcW w:w="1350" w:type="dxa"/>
            <w:tcMar>
              <w:top w:w="100" w:type="dxa"/>
              <w:left w:w="100" w:type="dxa"/>
              <w:bottom w:w="100" w:type="dxa"/>
              <w:right w:w="100" w:type="dxa"/>
            </w:tcMar>
          </w:tcPr>
          <w:p w14:paraId="0597DF7F" w14:textId="77777777" w:rsidR="007A13A2" w:rsidRPr="00A46755" w:rsidRDefault="007A13A2" w:rsidP="00460762">
            <w:pPr>
              <w:spacing w:after="200" w:line="240" w:lineRule="auto"/>
              <w:rPr>
                <w:rFonts w:eastAsia="Times New Roman" w:cstheme="minorHAnsi"/>
                <w:sz w:val="18"/>
                <w:szCs w:val="18"/>
              </w:rPr>
            </w:pPr>
            <w:r w:rsidRPr="00A46755">
              <w:rPr>
                <w:rFonts w:eastAsia="Times New Roman" w:cstheme="minorHAnsi"/>
                <w:sz w:val="18"/>
                <w:szCs w:val="18"/>
              </w:rPr>
              <w:t>Mortality</w:t>
            </w:r>
          </w:p>
        </w:tc>
        <w:tc>
          <w:tcPr>
            <w:tcW w:w="1192" w:type="dxa"/>
            <w:tcMar>
              <w:top w:w="100" w:type="dxa"/>
              <w:left w:w="100" w:type="dxa"/>
              <w:bottom w:w="100" w:type="dxa"/>
              <w:right w:w="100" w:type="dxa"/>
            </w:tcMar>
          </w:tcPr>
          <w:p w14:paraId="2E65CF8C" w14:textId="77777777" w:rsidR="007A13A2" w:rsidRPr="00A46755" w:rsidRDefault="007A13A2" w:rsidP="00460762">
            <w:pPr>
              <w:spacing w:after="200" w:line="240" w:lineRule="auto"/>
              <w:rPr>
                <w:rFonts w:eastAsia="Times New Roman" w:cstheme="minorHAnsi"/>
                <w:sz w:val="18"/>
                <w:szCs w:val="18"/>
              </w:rPr>
            </w:pPr>
            <w:r w:rsidRPr="00A46755">
              <w:rPr>
                <w:rFonts w:eastAsia="Times New Roman" w:cstheme="minorHAnsi"/>
                <w:sz w:val="18"/>
                <w:szCs w:val="18"/>
              </w:rPr>
              <w:t>N/A</w:t>
            </w:r>
          </w:p>
        </w:tc>
      </w:tr>
      <w:tr w:rsidR="007A13A2" w:rsidRPr="00A46755" w14:paraId="10EA6464" w14:textId="77777777" w:rsidTr="00460762">
        <w:trPr>
          <w:trHeight w:val="495"/>
        </w:trPr>
        <w:tc>
          <w:tcPr>
            <w:tcW w:w="727" w:type="dxa"/>
          </w:tcPr>
          <w:p w14:paraId="03BD9A70" w14:textId="77777777" w:rsidR="007A13A2" w:rsidRPr="00A46755" w:rsidRDefault="007A13A2" w:rsidP="00460762">
            <w:pPr>
              <w:spacing w:after="200" w:line="240" w:lineRule="auto"/>
              <w:rPr>
                <w:rFonts w:eastAsia="Times New Roman" w:cstheme="minorHAnsi"/>
                <w:sz w:val="18"/>
                <w:szCs w:val="18"/>
              </w:rPr>
            </w:pPr>
            <w:proofErr w:type="spellStart"/>
            <w:r w:rsidRPr="00A46755">
              <w:rPr>
                <w:rFonts w:eastAsia="Times New Roman" w:cstheme="minorHAnsi"/>
                <w:sz w:val="18"/>
                <w:szCs w:val="18"/>
              </w:rPr>
              <w:t>Horby</w:t>
            </w:r>
            <w:proofErr w:type="spellEnd"/>
            <w:r w:rsidRPr="00A46755">
              <w:rPr>
                <w:rFonts w:eastAsia="Times New Roman" w:cstheme="minorHAnsi"/>
                <w:sz w:val="18"/>
                <w:szCs w:val="18"/>
              </w:rPr>
              <w:t>/ 2021</w:t>
            </w:r>
            <w:r w:rsidRPr="00A46755">
              <w:rPr>
                <w:rFonts w:eastAsia="Times New Roman" w:cstheme="minorHAnsi"/>
                <w:sz w:val="18"/>
                <w:szCs w:val="18"/>
                <w:vertAlign w:val="superscript"/>
              </w:rPr>
              <w:t xml:space="preserve"> 4</w:t>
            </w:r>
          </w:p>
        </w:tc>
        <w:tc>
          <w:tcPr>
            <w:tcW w:w="941" w:type="dxa"/>
          </w:tcPr>
          <w:p w14:paraId="1BDA6A7F" w14:textId="77777777" w:rsidR="007A13A2" w:rsidRPr="00A46755" w:rsidRDefault="007A13A2" w:rsidP="00460762">
            <w:pPr>
              <w:spacing w:after="200" w:line="240" w:lineRule="auto"/>
              <w:rPr>
                <w:rFonts w:eastAsia="Times New Roman" w:cstheme="minorHAnsi"/>
                <w:sz w:val="18"/>
                <w:szCs w:val="18"/>
              </w:rPr>
            </w:pPr>
            <w:r w:rsidRPr="00A46755">
              <w:rPr>
                <w:rFonts w:eastAsia="Times New Roman" w:cstheme="minorHAnsi"/>
                <w:sz w:val="18"/>
                <w:szCs w:val="18"/>
              </w:rPr>
              <w:t>UK/</w:t>
            </w:r>
          </w:p>
          <w:p w14:paraId="25343945" w14:textId="77777777" w:rsidR="007A13A2" w:rsidRPr="00A46755" w:rsidRDefault="007A13A2" w:rsidP="00460762">
            <w:pPr>
              <w:spacing w:after="200" w:line="240" w:lineRule="auto"/>
              <w:rPr>
                <w:rFonts w:eastAsia="Times New Roman" w:cstheme="minorHAnsi"/>
                <w:sz w:val="18"/>
                <w:szCs w:val="18"/>
              </w:rPr>
            </w:pPr>
            <w:r w:rsidRPr="00A46755">
              <w:rPr>
                <w:rFonts w:eastAsia="Times New Roman" w:cstheme="minorHAnsi"/>
                <w:sz w:val="18"/>
                <w:szCs w:val="18"/>
              </w:rPr>
              <w:t>176 NHS hospital organizations</w:t>
            </w:r>
          </w:p>
        </w:tc>
        <w:tc>
          <w:tcPr>
            <w:tcW w:w="795" w:type="dxa"/>
          </w:tcPr>
          <w:p w14:paraId="5F85C935" w14:textId="77777777" w:rsidR="007A13A2" w:rsidRPr="00A46755" w:rsidRDefault="007A13A2" w:rsidP="00460762">
            <w:pPr>
              <w:spacing w:after="200" w:line="240" w:lineRule="auto"/>
              <w:rPr>
                <w:rFonts w:eastAsia="Times New Roman"/>
                <w:sz w:val="18"/>
                <w:szCs w:val="18"/>
              </w:rPr>
            </w:pPr>
            <w:r w:rsidRPr="00A46755">
              <w:rPr>
                <w:rFonts w:eastAsia="Times New Roman"/>
                <w:sz w:val="18"/>
                <w:szCs w:val="18"/>
              </w:rPr>
              <w:t>RCT</w:t>
            </w:r>
          </w:p>
        </w:tc>
        <w:tc>
          <w:tcPr>
            <w:tcW w:w="1350" w:type="dxa"/>
          </w:tcPr>
          <w:p w14:paraId="2A84D87D" w14:textId="77777777" w:rsidR="007A13A2" w:rsidRPr="00A46755" w:rsidRDefault="007A13A2" w:rsidP="00460762">
            <w:pPr>
              <w:spacing w:after="200" w:line="240" w:lineRule="auto"/>
              <w:rPr>
                <w:rFonts w:eastAsia="Times New Roman" w:cstheme="minorHAnsi"/>
                <w:sz w:val="18"/>
                <w:szCs w:val="18"/>
              </w:rPr>
            </w:pPr>
            <w:r w:rsidRPr="00A46755">
              <w:rPr>
                <w:rFonts w:eastAsia="Times New Roman" w:cstheme="minorHAnsi"/>
                <w:sz w:val="18"/>
                <w:szCs w:val="18"/>
              </w:rPr>
              <w:t>6425</w:t>
            </w:r>
          </w:p>
          <w:p w14:paraId="4571EBE8" w14:textId="77777777" w:rsidR="007A13A2" w:rsidRPr="00A46755" w:rsidRDefault="007A13A2" w:rsidP="00460762">
            <w:pPr>
              <w:spacing w:after="200" w:line="240" w:lineRule="auto"/>
              <w:rPr>
                <w:rFonts w:eastAsia="Times New Roman" w:cstheme="minorHAnsi"/>
                <w:sz w:val="18"/>
                <w:szCs w:val="18"/>
              </w:rPr>
            </w:pPr>
            <w:r w:rsidRPr="00A46755">
              <w:rPr>
                <w:rFonts w:eastAsia="Times New Roman" w:cstheme="minorHAnsi"/>
                <w:sz w:val="18"/>
                <w:szCs w:val="18"/>
              </w:rPr>
              <w:t>(2104/4321)</w:t>
            </w:r>
          </w:p>
        </w:tc>
        <w:tc>
          <w:tcPr>
            <w:tcW w:w="810" w:type="dxa"/>
          </w:tcPr>
          <w:p w14:paraId="3E73FB79" w14:textId="77777777" w:rsidR="007A13A2" w:rsidRPr="00A46755" w:rsidRDefault="007A13A2" w:rsidP="00460762">
            <w:pPr>
              <w:spacing w:after="200" w:line="240" w:lineRule="auto"/>
              <w:rPr>
                <w:rFonts w:eastAsia="Times New Roman" w:cstheme="minorHAnsi"/>
                <w:sz w:val="18"/>
                <w:szCs w:val="18"/>
              </w:rPr>
            </w:pPr>
            <w:r w:rsidRPr="00A46755">
              <w:rPr>
                <w:rFonts w:eastAsia="Times New Roman" w:cstheme="minorHAnsi"/>
                <w:sz w:val="18"/>
                <w:szCs w:val="18"/>
              </w:rPr>
              <w:t xml:space="preserve"> 36.4</w:t>
            </w:r>
          </w:p>
        </w:tc>
        <w:tc>
          <w:tcPr>
            <w:tcW w:w="1260" w:type="dxa"/>
          </w:tcPr>
          <w:p w14:paraId="028322C8" w14:textId="77777777" w:rsidR="007A13A2" w:rsidRPr="00A46755" w:rsidRDefault="007A13A2" w:rsidP="00460762">
            <w:pPr>
              <w:spacing w:after="200" w:line="240" w:lineRule="auto"/>
              <w:rPr>
                <w:rFonts w:eastAsia="Times New Roman" w:cstheme="minorHAnsi"/>
                <w:sz w:val="18"/>
                <w:szCs w:val="18"/>
              </w:rPr>
            </w:pPr>
            <w:r w:rsidRPr="00A46755">
              <w:rPr>
                <w:rFonts w:eastAsia="Times New Roman" w:cstheme="minorHAnsi"/>
                <w:sz w:val="18"/>
                <w:szCs w:val="18"/>
              </w:rPr>
              <w:t xml:space="preserve"> Mean (SD): 66.9 (15.4) in intervention/ 65.8 (15.8) in comparator)</w:t>
            </w:r>
          </w:p>
        </w:tc>
        <w:tc>
          <w:tcPr>
            <w:tcW w:w="1890" w:type="dxa"/>
          </w:tcPr>
          <w:p w14:paraId="7BDA139E" w14:textId="77777777" w:rsidR="007A13A2" w:rsidRPr="00A46755" w:rsidRDefault="007A13A2" w:rsidP="00460762">
            <w:pPr>
              <w:spacing w:after="200" w:line="240" w:lineRule="auto"/>
              <w:rPr>
                <w:rFonts w:eastAsia="Times New Roman"/>
                <w:sz w:val="18"/>
                <w:szCs w:val="18"/>
              </w:rPr>
            </w:pPr>
            <w:r w:rsidRPr="00A46755">
              <w:rPr>
                <w:rFonts w:eastAsia="Times New Roman"/>
                <w:sz w:val="18"/>
                <w:szCs w:val="18"/>
              </w:rPr>
              <w:t xml:space="preserve">Hospitalized patients with clinically suspected or laboratory confirmed SARS-CoV-2 infection and no medical history that might, in the opinion of the attending clinician, put the patient at significant risk if they were to </w:t>
            </w:r>
            <w:proofErr w:type="gramStart"/>
            <w:r w:rsidRPr="00A46755">
              <w:rPr>
                <w:rFonts w:eastAsia="Times New Roman"/>
                <w:sz w:val="18"/>
                <w:szCs w:val="18"/>
              </w:rPr>
              <w:t>participate</w:t>
            </w:r>
            <w:proofErr w:type="gramEnd"/>
          </w:p>
          <w:p w14:paraId="782F80BE" w14:textId="77777777" w:rsidR="007A13A2" w:rsidRPr="00A46755" w:rsidRDefault="007A13A2" w:rsidP="00460762">
            <w:pPr>
              <w:spacing w:after="200" w:line="240" w:lineRule="auto"/>
              <w:rPr>
                <w:rFonts w:eastAsia="Times New Roman"/>
                <w:sz w:val="18"/>
                <w:szCs w:val="18"/>
              </w:rPr>
            </w:pPr>
            <w:r w:rsidRPr="00A46755">
              <w:rPr>
                <w:rFonts w:eastAsia="Times New Roman"/>
                <w:sz w:val="18"/>
                <w:szCs w:val="18"/>
              </w:rPr>
              <w:t>Treatment (at baseline): 24% did not receive any O</w:t>
            </w:r>
            <w:r w:rsidRPr="00A46755">
              <w:rPr>
                <w:rFonts w:eastAsia="Times New Roman"/>
                <w:sz w:val="18"/>
                <w:szCs w:val="18"/>
                <w:vertAlign w:val="subscript"/>
              </w:rPr>
              <w:t>2</w:t>
            </w:r>
            <w:r w:rsidRPr="00A46755">
              <w:rPr>
                <w:rFonts w:eastAsia="Times New Roman"/>
                <w:sz w:val="18"/>
                <w:szCs w:val="18"/>
              </w:rPr>
              <w:t>, 61% received O</w:t>
            </w:r>
            <w:r w:rsidRPr="00A46755">
              <w:rPr>
                <w:rFonts w:eastAsia="Times New Roman"/>
                <w:sz w:val="18"/>
                <w:szCs w:val="18"/>
                <w:vertAlign w:val="subscript"/>
              </w:rPr>
              <w:t>2</w:t>
            </w:r>
            <w:r w:rsidRPr="00A46755">
              <w:rPr>
                <w:rFonts w:eastAsia="Times New Roman"/>
                <w:sz w:val="18"/>
                <w:szCs w:val="18"/>
              </w:rPr>
              <w:t xml:space="preserve"> only and 15 % received invasive mechanical ventilation. </w:t>
            </w:r>
          </w:p>
          <w:p w14:paraId="516B02F7" w14:textId="77777777" w:rsidR="007A13A2" w:rsidRPr="00A46755" w:rsidRDefault="007A13A2" w:rsidP="00460762">
            <w:pPr>
              <w:spacing w:after="200" w:line="240" w:lineRule="auto"/>
              <w:rPr>
                <w:rFonts w:eastAsia="Times New Roman" w:cstheme="minorHAnsi"/>
                <w:sz w:val="18"/>
                <w:szCs w:val="18"/>
              </w:rPr>
            </w:pPr>
            <w:r w:rsidRPr="00A46755">
              <w:rPr>
                <w:rFonts w:eastAsia="Times New Roman"/>
                <w:sz w:val="18"/>
                <w:szCs w:val="18"/>
              </w:rPr>
              <w:t>Comparator (at baseline): 24% did not receive any O</w:t>
            </w:r>
            <w:r w:rsidRPr="00A46755">
              <w:rPr>
                <w:rFonts w:eastAsia="Times New Roman"/>
                <w:sz w:val="18"/>
                <w:szCs w:val="18"/>
                <w:vertAlign w:val="subscript"/>
              </w:rPr>
              <w:t>2</w:t>
            </w:r>
            <w:r w:rsidRPr="00A46755">
              <w:rPr>
                <w:rFonts w:eastAsia="Times New Roman"/>
                <w:sz w:val="18"/>
                <w:szCs w:val="18"/>
              </w:rPr>
              <w:t>, 60% received O</w:t>
            </w:r>
            <w:r w:rsidRPr="00A46755">
              <w:rPr>
                <w:rFonts w:eastAsia="Times New Roman"/>
                <w:sz w:val="18"/>
                <w:szCs w:val="18"/>
                <w:vertAlign w:val="subscript"/>
              </w:rPr>
              <w:t>2</w:t>
            </w:r>
            <w:r w:rsidRPr="00A46755">
              <w:rPr>
                <w:rFonts w:eastAsia="Times New Roman"/>
                <w:sz w:val="18"/>
                <w:szCs w:val="18"/>
              </w:rPr>
              <w:t xml:space="preserve"> only and 16% received invasive mechanical ventilation</w:t>
            </w:r>
          </w:p>
        </w:tc>
        <w:tc>
          <w:tcPr>
            <w:tcW w:w="1440" w:type="dxa"/>
          </w:tcPr>
          <w:p w14:paraId="115DA702" w14:textId="77777777" w:rsidR="007A13A2" w:rsidRPr="00A46755" w:rsidRDefault="007A13A2" w:rsidP="00460762">
            <w:pPr>
              <w:spacing w:after="200" w:line="240" w:lineRule="auto"/>
              <w:rPr>
                <w:rFonts w:eastAsia="Times New Roman"/>
                <w:sz w:val="18"/>
                <w:szCs w:val="18"/>
              </w:rPr>
            </w:pPr>
            <w:r w:rsidRPr="00A46755">
              <w:rPr>
                <w:rFonts w:eastAsia="Times New Roman"/>
                <w:sz w:val="18"/>
                <w:szCs w:val="18"/>
              </w:rPr>
              <w:t xml:space="preserve">Dexamethasone 6 mg once daily for up to 10 days </w:t>
            </w:r>
          </w:p>
          <w:p w14:paraId="50DCB312" w14:textId="77777777" w:rsidR="007A13A2" w:rsidRPr="00A46755" w:rsidRDefault="007A13A2" w:rsidP="00460762">
            <w:pPr>
              <w:spacing w:after="200" w:line="240" w:lineRule="auto"/>
              <w:rPr>
                <w:rFonts w:eastAsia="Times New Roman"/>
                <w:sz w:val="18"/>
                <w:szCs w:val="18"/>
              </w:rPr>
            </w:pPr>
            <w:r w:rsidRPr="00A46755">
              <w:rPr>
                <w:rFonts w:eastAsia="Times New Roman"/>
                <w:sz w:val="18"/>
                <w:szCs w:val="18"/>
              </w:rPr>
              <w:t>(</w:t>
            </w:r>
            <w:proofErr w:type="gramStart"/>
            <w:r w:rsidRPr="00A46755">
              <w:rPr>
                <w:rFonts w:eastAsia="Times New Roman"/>
                <w:sz w:val="18"/>
                <w:szCs w:val="18"/>
              </w:rPr>
              <w:t>median</w:t>
            </w:r>
            <w:proofErr w:type="gramEnd"/>
            <w:r w:rsidRPr="00A46755">
              <w:rPr>
                <w:rFonts w:eastAsia="Times New Roman"/>
                <w:sz w:val="18"/>
                <w:szCs w:val="18"/>
              </w:rPr>
              <w:t xml:space="preserve"> treatment duration was 6 days)</w:t>
            </w:r>
          </w:p>
          <w:p w14:paraId="3DCE8DFC" w14:textId="77777777" w:rsidR="007A13A2" w:rsidRPr="00A46755" w:rsidRDefault="007A13A2" w:rsidP="00460762">
            <w:pPr>
              <w:spacing w:after="200" w:line="240" w:lineRule="auto"/>
              <w:rPr>
                <w:rFonts w:eastAsia="Times New Roman"/>
                <w:sz w:val="18"/>
                <w:szCs w:val="18"/>
              </w:rPr>
            </w:pPr>
            <w:r w:rsidRPr="00A46755">
              <w:rPr>
                <w:rFonts w:eastAsia="Times New Roman"/>
                <w:sz w:val="18"/>
                <w:szCs w:val="18"/>
              </w:rPr>
              <w:t>(</w:t>
            </w:r>
            <w:proofErr w:type="gramStart"/>
            <w:r w:rsidRPr="00A46755">
              <w:rPr>
                <w:rFonts w:eastAsia="Times New Roman"/>
                <w:sz w:val="18"/>
                <w:szCs w:val="18"/>
              </w:rPr>
              <w:t>median</w:t>
            </w:r>
            <w:proofErr w:type="gramEnd"/>
            <w:r w:rsidRPr="00A46755">
              <w:rPr>
                <w:rFonts w:eastAsia="Times New Roman"/>
                <w:sz w:val="18"/>
                <w:szCs w:val="18"/>
              </w:rPr>
              <w:t xml:space="preserve"> time to steroid treatment from symptom onset of 8 (5-13) days)</w:t>
            </w:r>
          </w:p>
        </w:tc>
        <w:tc>
          <w:tcPr>
            <w:tcW w:w="1170" w:type="dxa"/>
          </w:tcPr>
          <w:p w14:paraId="3829CB39" w14:textId="77777777" w:rsidR="007A13A2" w:rsidRPr="00A46755" w:rsidRDefault="007A13A2" w:rsidP="00460762">
            <w:pPr>
              <w:spacing w:after="200" w:line="240" w:lineRule="auto"/>
              <w:rPr>
                <w:rFonts w:eastAsia="Times New Roman"/>
                <w:sz w:val="18"/>
                <w:szCs w:val="18"/>
              </w:rPr>
            </w:pPr>
            <w:r w:rsidRPr="00A46755">
              <w:rPr>
                <w:rFonts w:eastAsia="Times New Roman"/>
                <w:sz w:val="18"/>
                <w:szCs w:val="18"/>
              </w:rPr>
              <w:t>(1) SoC</w:t>
            </w:r>
          </w:p>
        </w:tc>
        <w:tc>
          <w:tcPr>
            <w:tcW w:w="1260" w:type="dxa"/>
          </w:tcPr>
          <w:p w14:paraId="366618E8" w14:textId="77777777" w:rsidR="007A13A2" w:rsidRPr="00A46755" w:rsidRDefault="007A13A2" w:rsidP="00460762">
            <w:pPr>
              <w:spacing w:after="200" w:line="240" w:lineRule="auto"/>
              <w:rPr>
                <w:rFonts w:eastAsia="Times New Roman" w:cstheme="minorHAnsi"/>
                <w:sz w:val="18"/>
                <w:szCs w:val="18"/>
              </w:rPr>
            </w:pPr>
            <w:r w:rsidRPr="00A46755">
              <w:rPr>
                <w:rFonts w:eastAsia="Times New Roman" w:cstheme="minorHAnsi"/>
                <w:sz w:val="18"/>
                <w:szCs w:val="18"/>
              </w:rPr>
              <w:t>AZ (24%)</w:t>
            </w:r>
          </w:p>
          <w:p w14:paraId="05D655E6" w14:textId="77777777" w:rsidR="007A13A2" w:rsidRPr="00A46755" w:rsidRDefault="007A13A2" w:rsidP="00460762">
            <w:pPr>
              <w:spacing w:after="200" w:line="240" w:lineRule="auto"/>
              <w:rPr>
                <w:rFonts w:eastAsia="Times New Roman"/>
                <w:sz w:val="18"/>
                <w:szCs w:val="18"/>
              </w:rPr>
            </w:pPr>
            <w:r w:rsidRPr="00A46755">
              <w:rPr>
                <w:rFonts w:eastAsia="Times New Roman" w:cstheme="minorHAnsi"/>
                <w:sz w:val="18"/>
                <w:szCs w:val="18"/>
              </w:rPr>
              <w:t>HCQ, lopinavir-ritonavir, interleukin-6 antagonists (in very few patients)</w:t>
            </w:r>
          </w:p>
        </w:tc>
        <w:tc>
          <w:tcPr>
            <w:tcW w:w="1350" w:type="dxa"/>
            <w:tcMar>
              <w:top w:w="100" w:type="dxa"/>
              <w:left w:w="100" w:type="dxa"/>
              <w:bottom w:w="100" w:type="dxa"/>
              <w:right w:w="100" w:type="dxa"/>
            </w:tcMar>
          </w:tcPr>
          <w:p w14:paraId="0AAA1553" w14:textId="77777777" w:rsidR="007A13A2" w:rsidRPr="00A46755" w:rsidRDefault="007A13A2" w:rsidP="00460762">
            <w:pPr>
              <w:spacing w:after="200" w:line="240" w:lineRule="auto"/>
              <w:rPr>
                <w:rFonts w:eastAsia="Times New Roman" w:cstheme="minorHAnsi"/>
                <w:sz w:val="18"/>
                <w:szCs w:val="18"/>
              </w:rPr>
            </w:pPr>
            <w:r w:rsidRPr="00A46755">
              <w:rPr>
                <w:rFonts w:eastAsia="Times New Roman" w:cstheme="minorHAnsi"/>
                <w:sz w:val="18"/>
                <w:szCs w:val="18"/>
              </w:rPr>
              <w:t>Mortality (Day 28)</w:t>
            </w:r>
          </w:p>
          <w:p w14:paraId="3A00D08B" w14:textId="77777777" w:rsidR="007A13A2" w:rsidRPr="00A46755" w:rsidRDefault="007A13A2" w:rsidP="00460762">
            <w:pPr>
              <w:spacing w:after="200" w:line="240" w:lineRule="auto"/>
              <w:rPr>
                <w:rFonts w:eastAsia="Times New Roman" w:cstheme="minorHAnsi"/>
                <w:sz w:val="18"/>
                <w:szCs w:val="18"/>
              </w:rPr>
            </w:pPr>
            <w:r w:rsidRPr="00A46755">
              <w:rPr>
                <w:rFonts w:eastAsia="Times New Roman" w:cstheme="minorHAnsi"/>
                <w:sz w:val="18"/>
                <w:szCs w:val="18"/>
              </w:rPr>
              <w:t>Hospital discharge within day 28</w:t>
            </w:r>
          </w:p>
          <w:p w14:paraId="4C4D3199" w14:textId="77777777" w:rsidR="007A13A2" w:rsidRPr="00A46755" w:rsidRDefault="007A13A2" w:rsidP="00460762">
            <w:pPr>
              <w:spacing w:after="200" w:line="240" w:lineRule="auto"/>
              <w:rPr>
                <w:rFonts w:eastAsia="Times New Roman" w:cstheme="minorHAnsi"/>
                <w:sz w:val="18"/>
                <w:szCs w:val="18"/>
              </w:rPr>
            </w:pPr>
            <w:r w:rsidRPr="00A46755">
              <w:rPr>
                <w:rFonts w:eastAsia="Times New Roman" w:cstheme="minorHAnsi"/>
                <w:sz w:val="18"/>
                <w:szCs w:val="18"/>
              </w:rPr>
              <w:t>Risk of invasive mechanical ventilation or death</w:t>
            </w:r>
          </w:p>
          <w:p w14:paraId="487490E6" w14:textId="77777777" w:rsidR="007A13A2" w:rsidRPr="00A46755" w:rsidRDefault="007A13A2" w:rsidP="00460762">
            <w:pPr>
              <w:spacing w:after="200" w:line="240" w:lineRule="auto"/>
              <w:rPr>
                <w:rFonts w:eastAsia="Times New Roman" w:cstheme="minorHAnsi"/>
                <w:sz w:val="18"/>
                <w:szCs w:val="18"/>
              </w:rPr>
            </w:pPr>
            <w:r w:rsidRPr="00A46755">
              <w:rPr>
                <w:rFonts w:eastAsia="Times New Roman" w:cstheme="minorHAnsi"/>
                <w:sz w:val="18"/>
                <w:szCs w:val="18"/>
              </w:rPr>
              <w:t>Median duration of hospitalization (days)</w:t>
            </w:r>
          </w:p>
          <w:p w14:paraId="3AE7AAFC" w14:textId="77777777" w:rsidR="007A13A2" w:rsidRPr="00A46755" w:rsidRDefault="007A13A2" w:rsidP="00460762">
            <w:pPr>
              <w:spacing w:after="200" w:line="240" w:lineRule="auto"/>
              <w:rPr>
                <w:rFonts w:eastAsia="Times New Roman" w:cstheme="minorHAnsi"/>
                <w:sz w:val="18"/>
                <w:szCs w:val="18"/>
              </w:rPr>
            </w:pPr>
            <w:r w:rsidRPr="00A46755">
              <w:rPr>
                <w:rFonts w:eastAsia="Times New Roman" w:cstheme="minorHAnsi"/>
                <w:sz w:val="18"/>
                <w:szCs w:val="18"/>
              </w:rPr>
              <w:t>Receipt of renal hemodialysis or hemofiltration</w:t>
            </w:r>
          </w:p>
          <w:p w14:paraId="649760CF" w14:textId="77777777" w:rsidR="007A13A2" w:rsidRPr="00A46755" w:rsidRDefault="007A13A2" w:rsidP="00460762">
            <w:pPr>
              <w:spacing w:after="200" w:line="240" w:lineRule="auto"/>
              <w:rPr>
                <w:rFonts w:eastAsia="Times New Roman" w:cstheme="minorHAnsi"/>
                <w:sz w:val="18"/>
                <w:szCs w:val="18"/>
              </w:rPr>
            </w:pPr>
            <w:r w:rsidRPr="00A46755">
              <w:rPr>
                <w:rFonts w:eastAsia="Times New Roman" w:cstheme="minorHAnsi"/>
                <w:sz w:val="18"/>
                <w:szCs w:val="18"/>
              </w:rPr>
              <w:t>Major cardiac arrhythmia</w:t>
            </w:r>
          </w:p>
          <w:p w14:paraId="1E69C82F" w14:textId="77777777" w:rsidR="007A13A2" w:rsidRPr="00A46755" w:rsidRDefault="007A13A2" w:rsidP="00460762">
            <w:pPr>
              <w:spacing w:after="200" w:line="240" w:lineRule="auto"/>
              <w:rPr>
                <w:rFonts w:asciiTheme="minorHAnsi" w:eastAsia="Times New Roman" w:hAnsiTheme="minorHAnsi" w:cstheme="minorHAnsi"/>
                <w:sz w:val="18"/>
                <w:szCs w:val="18"/>
              </w:rPr>
            </w:pPr>
            <w:r w:rsidRPr="00A46755">
              <w:rPr>
                <w:rFonts w:eastAsia="Times New Roman" w:cstheme="minorHAnsi"/>
                <w:sz w:val="18"/>
                <w:szCs w:val="18"/>
              </w:rPr>
              <w:t>Receipt and duration of ventilation</w:t>
            </w:r>
          </w:p>
        </w:tc>
        <w:tc>
          <w:tcPr>
            <w:tcW w:w="1192" w:type="dxa"/>
            <w:shd w:val="clear" w:color="auto" w:fill="auto"/>
            <w:tcMar>
              <w:top w:w="100" w:type="dxa"/>
              <w:left w:w="100" w:type="dxa"/>
              <w:bottom w:w="100" w:type="dxa"/>
              <w:right w:w="100" w:type="dxa"/>
            </w:tcMar>
          </w:tcPr>
          <w:p w14:paraId="5B316487" w14:textId="77777777" w:rsidR="007A13A2" w:rsidRPr="00A46755" w:rsidRDefault="007A13A2" w:rsidP="00460762">
            <w:pPr>
              <w:autoSpaceDE w:val="0"/>
              <w:autoSpaceDN w:val="0"/>
              <w:adjustRightInd w:val="0"/>
              <w:spacing w:after="200" w:line="240" w:lineRule="auto"/>
              <w:rPr>
                <w:rFonts w:asciiTheme="minorHAnsi" w:hAnsiTheme="minorHAnsi" w:cs="KhbfffAdvTTb5929f4c"/>
                <w:color w:val="131413"/>
                <w:sz w:val="18"/>
                <w:szCs w:val="18"/>
                <w:lang w:val="en-CA"/>
              </w:rPr>
            </w:pPr>
            <w:r w:rsidRPr="00A46755">
              <w:rPr>
                <w:rFonts w:eastAsia="Times New Roman" w:cstheme="minorHAnsi"/>
                <w:sz w:val="18"/>
                <w:szCs w:val="18"/>
              </w:rPr>
              <w:t>Medical Research Council and National Institute for Health Research</w:t>
            </w:r>
          </w:p>
        </w:tc>
      </w:tr>
      <w:tr w:rsidR="007A13A2" w:rsidRPr="00A46755" w14:paraId="469BD5B5" w14:textId="77777777" w:rsidTr="00460762">
        <w:trPr>
          <w:trHeight w:val="495"/>
        </w:trPr>
        <w:tc>
          <w:tcPr>
            <w:tcW w:w="727" w:type="dxa"/>
          </w:tcPr>
          <w:p w14:paraId="0B19FF89" w14:textId="77777777" w:rsidR="007A13A2" w:rsidRPr="00A46755" w:rsidRDefault="007A13A2" w:rsidP="00460762">
            <w:pPr>
              <w:spacing w:after="200" w:line="240" w:lineRule="auto"/>
              <w:rPr>
                <w:rFonts w:eastAsia="Times New Roman" w:cstheme="minorHAnsi"/>
                <w:sz w:val="18"/>
                <w:szCs w:val="18"/>
                <w:vertAlign w:val="superscript"/>
              </w:rPr>
            </w:pPr>
            <w:r w:rsidRPr="00A46755">
              <w:rPr>
                <w:rFonts w:eastAsia="Times New Roman" w:cstheme="minorHAnsi"/>
                <w:sz w:val="18"/>
                <w:szCs w:val="18"/>
              </w:rPr>
              <w:t>Lu/ 2020</w:t>
            </w:r>
            <w:r w:rsidRPr="00A46755">
              <w:rPr>
                <w:rFonts w:eastAsia="Times New Roman" w:cstheme="minorHAnsi"/>
                <w:sz w:val="18"/>
                <w:szCs w:val="18"/>
                <w:vertAlign w:val="superscript"/>
              </w:rPr>
              <w:t xml:space="preserve"> 5</w:t>
            </w:r>
          </w:p>
        </w:tc>
        <w:tc>
          <w:tcPr>
            <w:tcW w:w="941" w:type="dxa"/>
          </w:tcPr>
          <w:p w14:paraId="7F6CEEE0" w14:textId="77777777" w:rsidR="007A13A2" w:rsidRPr="00A46755" w:rsidRDefault="007A13A2" w:rsidP="00460762">
            <w:pPr>
              <w:spacing w:after="200" w:line="240" w:lineRule="auto"/>
              <w:rPr>
                <w:rFonts w:eastAsia="Times New Roman" w:cstheme="minorHAnsi"/>
                <w:sz w:val="18"/>
                <w:szCs w:val="18"/>
              </w:rPr>
            </w:pPr>
            <w:r w:rsidRPr="00A46755">
              <w:rPr>
                <w:rFonts w:eastAsia="Times New Roman" w:cstheme="minorHAnsi"/>
                <w:sz w:val="18"/>
                <w:szCs w:val="18"/>
              </w:rPr>
              <w:t>China/</w:t>
            </w:r>
          </w:p>
          <w:p w14:paraId="11150BDA" w14:textId="77777777" w:rsidR="007A13A2" w:rsidRPr="00A46755" w:rsidRDefault="007A13A2" w:rsidP="00460762">
            <w:pPr>
              <w:spacing w:after="200" w:line="240" w:lineRule="auto"/>
              <w:rPr>
                <w:rFonts w:eastAsia="Times New Roman" w:cstheme="minorHAnsi"/>
                <w:sz w:val="18"/>
                <w:szCs w:val="18"/>
              </w:rPr>
            </w:pPr>
            <w:r w:rsidRPr="00A46755">
              <w:rPr>
                <w:rFonts w:eastAsia="Times New Roman" w:cstheme="minorHAnsi"/>
                <w:sz w:val="18"/>
                <w:szCs w:val="18"/>
              </w:rPr>
              <w:lastRenderedPageBreak/>
              <w:t>Tongji Hospital</w:t>
            </w:r>
          </w:p>
        </w:tc>
        <w:tc>
          <w:tcPr>
            <w:tcW w:w="795" w:type="dxa"/>
          </w:tcPr>
          <w:p w14:paraId="6F746310" w14:textId="77777777" w:rsidR="007A13A2" w:rsidRPr="00A46755" w:rsidRDefault="007A13A2" w:rsidP="00460762">
            <w:pPr>
              <w:spacing w:after="200" w:line="240" w:lineRule="auto"/>
              <w:rPr>
                <w:rFonts w:eastAsia="Times New Roman"/>
                <w:sz w:val="18"/>
                <w:szCs w:val="18"/>
              </w:rPr>
            </w:pPr>
            <w:r w:rsidRPr="00A46755">
              <w:rPr>
                <w:rFonts w:eastAsia="Times New Roman"/>
                <w:sz w:val="18"/>
                <w:szCs w:val="18"/>
              </w:rPr>
              <w:lastRenderedPageBreak/>
              <w:t>Retrospective cohort</w:t>
            </w:r>
          </w:p>
        </w:tc>
        <w:tc>
          <w:tcPr>
            <w:tcW w:w="1350" w:type="dxa"/>
          </w:tcPr>
          <w:p w14:paraId="5F0957D8" w14:textId="77777777" w:rsidR="007A13A2" w:rsidRPr="00A46755" w:rsidRDefault="007A13A2" w:rsidP="00460762">
            <w:pPr>
              <w:spacing w:after="200" w:line="240" w:lineRule="auto"/>
              <w:rPr>
                <w:rFonts w:eastAsia="Times New Roman" w:cstheme="minorHAnsi"/>
                <w:sz w:val="18"/>
                <w:szCs w:val="18"/>
              </w:rPr>
            </w:pPr>
            <w:r w:rsidRPr="00A46755">
              <w:rPr>
                <w:rFonts w:eastAsia="Times New Roman" w:cstheme="minorHAnsi"/>
                <w:sz w:val="18"/>
                <w:szCs w:val="18"/>
              </w:rPr>
              <w:t>244</w:t>
            </w:r>
          </w:p>
          <w:p w14:paraId="047BDD34" w14:textId="77777777" w:rsidR="007A13A2" w:rsidRPr="00A46755" w:rsidRDefault="007A13A2" w:rsidP="00460762">
            <w:pPr>
              <w:spacing w:after="200" w:line="240" w:lineRule="auto"/>
              <w:rPr>
                <w:rFonts w:eastAsia="Times New Roman" w:cstheme="minorHAnsi"/>
                <w:sz w:val="18"/>
                <w:szCs w:val="18"/>
              </w:rPr>
            </w:pPr>
            <w:r w:rsidRPr="00A46755">
              <w:rPr>
                <w:rFonts w:eastAsia="Times New Roman" w:cstheme="minorHAnsi"/>
                <w:sz w:val="18"/>
                <w:szCs w:val="18"/>
              </w:rPr>
              <w:t>(151/93)</w:t>
            </w:r>
          </w:p>
        </w:tc>
        <w:tc>
          <w:tcPr>
            <w:tcW w:w="810" w:type="dxa"/>
          </w:tcPr>
          <w:p w14:paraId="1EE1BE4D" w14:textId="77777777" w:rsidR="007A13A2" w:rsidRPr="00A46755" w:rsidRDefault="007A13A2" w:rsidP="00460762">
            <w:pPr>
              <w:spacing w:after="200" w:line="240" w:lineRule="auto"/>
              <w:rPr>
                <w:rFonts w:eastAsia="Times New Roman" w:cstheme="minorHAnsi"/>
                <w:sz w:val="18"/>
                <w:szCs w:val="18"/>
              </w:rPr>
            </w:pPr>
            <w:r w:rsidRPr="00A46755">
              <w:rPr>
                <w:rFonts w:eastAsia="Times New Roman" w:cstheme="minorHAnsi"/>
                <w:sz w:val="18"/>
                <w:szCs w:val="18"/>
              </w:rPr>
              <w:t>48.0</w:t>
            </w:r>
          </w:p>
        </w:tc>
        <w:tc>
          <w:tcPr>
            <w:tcW w:w="1260" w:type="dxa"/>
          </w:tcPr>
          <w:p w14:paraId="554E6278" w14:textId="77777777" w:rsidR="007A13A2" w:rsidRPr="00A46755" w:rsidRDefault="007A13A2" w:rsidP="00460762">
            <w:pPr>
              <w:spacing w:after="200" w:line="240" w:lineRule="auto"/>
              <w:rPr>
                <w:rFonts w:eastAsia="Times New Roman" w:cstheme="minorHAnsi"/>
                <w:sz w:val="18"/>
                <w:szCs w:val="18"/>
              </w:rPr>
            </w:pPr>
            <w:r w:rsidRPr="00A46755">
              <w:rPr>
                <w:rFonts w:eastAsia="Times New Roman" w:cstheme="minorHAnsi"/>
                <w:sz w:val="18"/>
                <w:szCs w:val="18"/>
              </w:rPr>
              <w:t>Median (IQR): 62 (50-71)</w:t>
            </w:r>
          </w:p>
        </w:tc>
        <w:tc>
          <w:tcPr>
            <w:tcW w:w="1890" w:type="dxa"/>
          </w:tcPr>
          <w:p w14:paraId="3B246EE9" w14:textId="77777777" w:rsidR="007A13A2" w:rsidRPr="00A46755" w:rsidRDefault="007A13A2" w:rsidP="00460762">
            <w:pPr>
              <w:spacing w:after="200" w:line="240" w:lineRule="auto"/>
              <w:rPr>
                <w:rFonts w:eastAsia="Times New Roman"/>
                <w:sz w:val="18"/>
                <w:szCs w:val="18"/>
              </w:rPr>
            </w:pPr>
            <w:r w:rsidRPr="00A46755">
              <w:rPr>
                <w:rFonts w:eastAsia="Times New Roman" w:cstheme="minorHAnsi"/>
                <w:sz w:val="18"/>
                <w:szCs w:val="18"/>
              </w:rPr>
              <w:t xml:space="preserve">Critically ill patients: those who were admitted to intensive care wards and </w:t>
            </w:r>
            <w:r w:rsidRPr="00A46755">
              <w:rPr>
                <w:rFonts w:eastAsia="Times New Roman" w:cstheme="minorHAnsi"/>
                <w:sz w:val="18"/>
                <w:szCs w:val="18"/>
              </w:rPr>
              <w:lastRenderedPageBreak/>
              <w:t>required mechanical ventilation (either invasive or non-invasive), or with ARDS (PaO</w:t>
            </w:r>
            <w:r w:rsidRPr="00A46755">
              <w:rPr>
                <w:rFonts w:eastAsia="Times New Roman" w:cstheme="minorHAnsi"/>
                <w:sz w:val="18"/>
                <w:szCs w:val="18"/>
                <w:vertAlign w:val="subscript"/>
              </w:rPr>
              <w:t>2</w:t>
            </w:r>
            <w:r w:rsidRPr="00A46755">
              <w:rPr>
                <w:rFonts w:eastAsia="Times New Roman" w:cstheme="minorHAnsi"/>
                <w:sz w:val="18"/>
                <w:szCs w:val="18"/>
              </w:rPr>
              <w:t>/FIO</w:t>
            </w:r>
            <w:r w:rsidRPr="00A46755">
              <w:rPr>
                <w:rFonts w:eastAsia="Times New Roman" w:cstheme="minorHAnsi"/>
                <w:sz w:val="18"/>
                <w:szCs w:val="18"/>
                <w:vertAlign w:val="subscript"/>
              </w:rPr>
              <w:t>2</w:t>
            </w:r>
            <w:r w:rsidRPr="00A46755">
              <w:rPr>
                <w:rFonts w:eastAsia="Times New Roman" w:cstheme="minorHAnsi"/>
                <w:sz w:val="18"/>
                <w:szCs w:val="18"/>
              </w:rPr>
              <w:t xml:space="preserve"> ≤300mmHg; when PaO</w:t>
            </w:r>
            <w:r w:rsidRPr="00A46755">
              <w:rPr>
                <w:rFonts w:eastAsia="Times New Roman" w:cstheme="minorHAnsi"/>
                <w:sz w:val="18"/>
                <w:szCs w:val="18"/>
                <w:vertAlign w:val="subscript"/>
              </w:rPr>
              <w:t>2</w:t>
            </w:r>
            <w:r w:rsidRPr="00A46755">
              <w:rPr>
                <w:rFonts w:eastAsia="Times New Roman" w:cstheme="minorHAnsi"/>
                <w:sz w:val="18"/>
                <w:szCs w:val="18"/>
              </w:rPr>
              <w:t xml:space="preserve"> is not available, SpO</w:t>
            </w:r>
            <w:r w:rsidRPr="00A46755">
              <w:rPr>
                <w:rFonts w:eastAsia="Times New Roman" w:cstheme="minorHAnsi"/>
                <w:sz w:val="18"/>
                <w:szCs w:val="18"/>
                <w:vertAlign w:val="subscript"/>
              </w:rPr>
              <w:t>2</w:t>
            </w:r>
            <w:r w:rsidRPr="00A46755">
              <w:rPr>
                <w:rFonts w:eastAsia="Times New Roman" w:cstheme="minorHAnsi"/>
                <w:sz w:val="18"/>
                <w:szCs w:val="18"/>
              </w:rPr>
              <w:t>/FiO</w:t>
            </w:r>
            <w:r w:rsidRPr="00A46755">
              <w:rPr>
                <w:rFonts w:eastAsia="Times New Roman" w:cstheme="minorHAnsi"/>
                <w:sz w:val="18"/>
                <w:szCs w:val="18"/>
                <w:vertAlign w:val="subscript"/>
              </w:rPr>
              <w:t>2</w:t>
            </w:r>
            <w:r w:rsidRPr="00A46755">
              <w:rPr>
                <w:rFonts w:eastAsia="Times New Roman" w:cstheme="minorHAnsi"/>
                <w:sz w:val="18"/>
                <w:szCs w:val="18"/>
              </w:rPr>
              <w:t xml:space="preserve"> ≤315 suggests ARDS), or sepsis with acute organ </w:t>
            </w:r>
            <w:proofErr w:type="gramStart"/>
            <w:r w:rsidRPr="00A46755">
              <w:rPr>
                <w:rFonts w:eastAsia="Times New Roman" w:cstheme="minorHAnsi"/>
                <w:sz w:val="18"/>
                <w:szCs w:val="18"/>
              </w:rPr>
              <w:t>dysfunction</w:t>
            </w:r>
            <w:proofErr w:type="gramEnd"/>
          </w:p>
          <w:p w14:paraId="7FBFA7E6" w14:textId="77777777" w:rsidR="007A13A2" w:rsidRPr="00A46755" w:rsidRDefault="007A13A2" w:rsidP="00460762">
            <w:pPr>
              <w:spacing w:after="200" w:line="240" w:lineRule="auto"/>
              <w:rPr>
                <w:rFonts w:eastAsia="Times New Roman"/>
                <w:sz w:val="18"/>
                <w:szCs w:val="18"/>
              </w:rPr>
            </w:pPr>
          </w:p>
          <w:p w14:paraId="769918CA" w14:textId="77777777" w:rsidR="007A13A2" w:rsidRPr="00A46755" w:rsidRDefault="007A13A2" w:rsidP="00460762">
            <w:pPr>
              <w:spacing w:after="200" w:line="240" w:lineRule="auto"/>
              <w:rPr>
                <w:rFonts w:eastAsia="Times New Roman"/>
                <w:sz w:val="18"/>
                <w:szCs w:val="18"/>
              </w:rPr>
            </w:pPr>
            <w:r w:rsidRPr="00A46755">
              <w:rPr>
                <w:rFonts w:eastAsia="Times New Roman"/>
                <w:sz w:val="18"/>
                <w:szCs w:val="18"/>
              </w:rPr>
              <w:t xml:space="preserve">Treatment (at baseline): 52% received mechanical </w:t>
            </w:r>
            <w:proofErr w:type="gramStart"/>
            <w:r w:rsidRPr="00A46755">
              <w:rPr>
                <w:rFonts w:eastAsia="Times New Roman"/>
                <w:sz w:val="18"/>
                <w:szCs w:val="18"/>
              </w:rPr>
              <w:t>ventilation</w:t>
            </w:r>
            <w:proofErr w:type="gramEnd"/>
          </w:p>
          <w:p w14:paraId="6A58EF7F" w14:textId="77777777" w:rsidR="007A13A2" w:rsidRPr="00A46755" w:rsidRDefault="007A13A2" w:rsidP="00460762">
            <w:pPr>
              <w:spacing w:after="200" w:line="240" w:lineRule="auto"/>
              <w:rPr>
                <w:rFonts w:eastAsia="Times New Roman"/>
                <w:sz w:val="18"/>
                <w:szCs w:val="18"/>
              </w:rPr>
            </w:pPr>
          </w:p>
          <w:p w14:paraId="70E8CD8D" w14:textId="77777777" w:rsidR="007A13A2" w:rsidRPr="00A46755" w:rsidRDefault="007A13A2" w:rsidP="00460762">
            <w:pPr>
              <w:spacing w:after="200" w:line="240" w:lineRule="auto"/>
              <w:rPr>
                <w:rFonts w:eastAsia="Times New Roman"/>
                <w:sz w:val="18"/>
                <w:szCs w:val="18"/>
              </w:rPr>
            </w:pPr>
            <w:r w:rsidRPr="00A46755">
              <w:rPr>
                <w:rFonts w:eastAsia="Times New Roman"/>
                <w:sz w:val="18"/>
                <w:szCs w:val="18"/>
              </w:rPr>
              <w:t>Comparator (at baseline): 4% received mechanical ventilation</w:t>
            </w:r>
          </w:p>
        </w:tc>
        <w:tc>
          <w:tcPr>
            <w:tcW w:w="1440" w:type="dxa"/>
          </w:tcPr>
          <w:p w14:paraId="2E228213" w14:textId="77777777" w:rsidR="007A13A2" w:rsidRPr="00A46755" w:rsidRDefault="007A13A2" w:rsidP="00460762">
            <w:pPr>
              <w:spacing w:after="200" w:line="240" w:lineRule="auto"/>
              <w:rPr>
                <w:rFonts w:eastAsia="Times New Roman"/>
                <w:sz w:val="18"/>
                <w:szCs w:val="18"/>
              </w:rPr>
            </w:pPr>
            <w:r w:rsidRPr="00A46755">
              <w:rPr>
                <w:rFonts w:eastAsia="Times New Roman"/>
                <w:sz w:val="18"/>
                <w:szCs w:val="18"/>
              </w:rPr>
              <w:lastRenderedPageBreak/>
              <w:t xml:space="preserve">Steroids: hydrocortisone-equivalent dosage range: </w:t>
            </w:r>
            <w:r w:rsidRPr="00A46755">
              <w:rPr>
                <w:rFonts w:eastAsia="Times New Roman"/>
                <w:sz w:val="18"/>
                <w:szCs w:val="18"/>
              </w:rPr>
              <w:lastRenderedPageBreak/>
              <w:t>100-800mg/day (median [IQR] administration duration of 8 days [4-12])</w:t>
            </w:r>
          </w:p>
          <w:p w14:paraId="7CE4E372" w14:textId="77777777" w:rsidR="007A13A2" w:rsidRPr="00A46755" w:rsidRDefault="007A13A2" w:rsidP="00460762">
            <w:pPr>
              <w:spacing w:after="200" w:line="240" w:lineRule="auto"/>
              <w:rPr>
                <w:rFonts w:eastAsia="Times New Roman"/>
                <w:sz w:val="18"/>
                <w:szCs w:val="18"/>
              </w:rPr>
            </w:pPr>
            <w:r w:rsidRPr="00A46755">
              <w:rPr>
                <w:rFonts w:eastAsia="Times New Roman"/>
                <w:sz w:val="18"/>
                <w:szCs w:val="18"/>
              </w:rPr>
              <w:t>(</w:t>
            </w:r>
            <w:proofErr w:type="gramStart"/>
            <w:r w:rsidRPr="00A46755">
              <w:rPr>
                <w:rFonts w:eastAsia="Times New Roman"/>
                <w:sz w:val="18"/>
                <w:szCs w:val="18"/>
              </w:rPr>
              <w:t>median</w:t>
            </w:r>
            <w:proofErr w:type="gramEnd"/>
            <w:r w:rsidRPr="00A46755">
              <w:rPr>
                <w:rFonts w:eastAsia="Times New Roman"/>
                <w:sz w:val="18"/>
                <w:szCs w:val="18"/>
              </w:rPr>
              <w:t xml:space="preserve"> time to steroid treatment from symptom onset not reported)</w:t>
            </w:r>
          </w:p>
        </w:tc>
        <w:tc>
          <w:tcPr>
            <w:tcW w:w="1170" w:type="dxa"/>
          </w:tcPr>
          <w:p w14:paraId="73F696BB" w14:textId="77777777" w:rsidR="007A13A2" w:rsidRPr="00A46755" w:rsidRDefault="007A13A2" w:rsidP="00460762">
            <w:pPr>
              <w:spacing w:after="200" w:line="240" w:lineRule="auto"/>
              <w:rPr>
                <w:rFonts w:eastAsia="Times New Roman"/>
                <w:sz w:val="18"/>
                <w:szCs w:val="18"/>
              </w:rPr>
            </w:pPr>
            <w:r w:rsidRPr="00A46755">
              <w:rPr>
                <w:rFonts w:eastAsia="Times New Roman"/>
                <w:sz w:val="18"/>
                <w:szCs w:val="18"/>
              </w:rPr>
              <w:lastRenderedPageBreak/>
              <w:t>(1) SoC</w:t>
            </w:r>
          </w:p>
        </w:tc>
        <w:tc>
          <w:tcPr>
            <w:tcW w:w="1260" w:type="dxa"/>
          </w:tcPr>
          <w:p w14:paraId="560169C3" w14:textId="77777777" w:rsidR="007A13A2" w:rsidRPr="00A46755" w:rsidRDefault="007A13A2" w:rsidP="00460762">
            <w:pPr>
              <w:spacing w:after="200" w:line="240" w:lineRule="auto"/>
              <w:rPr>
                <w:rFonts w:eastAsia="Times New Roman" w:cstheme="minorHAnsi"/>
                <w:sz w:val="18"/>
                <w:szCs w:val="18"/>
              </w:rPr>
            </w:pPr>
            <w:r w:rsidRPr="00A46755">
              <w:rPr>
                <w:rFonts w:eastAsia="Times New Roman"/>
                <w:sz w:val="18"/>
                <w:szCs w:val="18"/>
              </w:rPr>
              <w:t xml:space="preserve">Antiviral therapy (oseltamivir, </w:t>
            </w:r>
            <w:proofErr w:type="spellStart"/>
            <w:r w:rsidRPr="00A46755">
              <w:rPr>
                <w:rFonts w:eastAsia="Times New Roman"/>
                <w:sz w:val="18"/>
                <w:szCs w:val="18"/>
              </w:rPr>
              <w:t>arbidol</w:t>
            </w:r>
            <w:proofErr w:type="spellEnd"/>
            <w:r w:rsidRPr="00A46755">
              <w:rPr>
                <w:rFonts w:eastAsia="Times New Roman"/>
                <w:sz w:val="18"/>
                <w:szCs w:val="18"/>
              </w:rPr>
              <w:t xml:space="preserve">, </w:t>
            </w:r>
            <w:r w:rsidRPr="00A46755">
              <w:rPr>
                <w:rFonts w:eastAsia="Times New Roman"/>
                <w:sz w:val="18"/>
                <w:szCs w:val="18"/>
              </w:rPr>
              <w:lastRenderedPageBreak/>
              <w:t xml:space="preserve">lopinavir/ritonavir, ganciclovir, interferon-a), </w:t>
            </w:r>
            <w:proofErr w:type="spellStart"/>
            <w:r w:rsidRPr="00A46755">
              <w:rPr>
                <w:rFonts w:eastAsia="Times New Roman"/>
                <w:sz w:val="18"/>
                <w:szCs w:val="18"/>
              </w:rPr>
              <w:t>antibacterials</w:t>
            </w:r>
            <w:proofErr w:type="spellEnd"/>
            <w:r w:rsidRPr="00A46755">
              <w:rPr>
                <w:rFonts w:eastAsia="Times New Roman"/>
                <w:sz w:val="18"/>
                <w:szCs w:val="18"/>
              </w:rPr>
              <w:t>, gamma globulin, mechanical ventilation, muscle relaxant, HFNC</w:t>
            </w:r>
          </w:p>
        </w:tc>
        <w:tc>
          <w:tcPr>
            <w:tcW w:w="1350" w:type="dxa"/>
            <w:tcMar>
              <w:top w:w="100" w:type="dxa"/>
              <w:left w:w="100" w:type="dxa"/>
              <w:bottom w:w="100" w:type="dxa"/>
              <w:right w:w="100" w:type="dxa"/>
            </w:tcMar>
          </w:tcPr>
          <w:p w14:paraId="0F4331FD" w14:textId="77777777" w:rsidR="007A13A2" w:rsidRPr="00A46755" w:rsidRDefault="007A13A2" w:rsidP="00460762">
            <w:pPr>
              <w:spacing w:after="200" w:line="240" w:lineRule="auto"/>
              <w:rPr>
                <w:rFonts w:asciiTheme="minorHAnsi" w:eastAsia="Times New Roman" w:hAnsiTheme="minorHAnsi" w:cstheme="minorHAnsi"/>
                <w:sz w:val="18"/>
                <w:szCs w:val="18"/>
              </w:rPr>
            </w:pPr>
            <w:r w:rsidRPr="00A46755">
              <w:rPr>
                <w:rFonts w:asciiTheme="minorHAnsi" w:eastAsia="Times New Roman" w:hAnsiTheme="minorHAnsi" w:cstheme="minorHAnsi"/>
                <w:sz w:val="18"/>
                <w:szCs w:val="18"/>
              </w:rPr>
              <w:lastRenderedPageBreak/>
              <w:t>Mortality at day 28</w:t>
            </w:r>
          </w:p>
          <w:p w14:paraId="1FE169B7" w14:textId="77777777" w:rsidR="007A13A2" w:rsidRPr="00A46755" w:rsidRDefault="007A13A2" w:rsidP="00460762">
            <w:pPr>
              <w:spacing w:after="200" w:line="240" w:lineRule="auto"/>
              <w:rPr>
                <w:rFonts w:asciiTheme="minorHAnsi" w:eastAsia="Times New Roman" w:hAnsiTheme="minorHAnsi" w:cstheme="minorHAnsi"/>
                <w:sz w:val="18"/>
                <w:szCs w:val="18"/>
              </w:rPr>
            </w:pPr>
            <w:r w:rsidRPr="00A46755">
              <w:rPr>
                <w:rFonts w:asciiTheme="minorHAnsi" w:eastAsia="Times New Roman" w:hAnsiTheme="minorHAnsi" w:cstheme="minorHAnsi"/>
                <w:sz w:val="18"/>
                <w:szCs w:val="18"/>
              </w:rPr>
              <w:lastRenderedPageBreak/>
              <w:t>Overall cohort mortality (odds ratio)</w:t>
            </w:r>
          </w:p>
          <w:p w14:paraId="25A14ACD" w14:textId="77777777" w:rsidR="007A13A2" w:rsidRPr="00A46755" w:rsidRDefault="007A13A2" w:rsidP="00460762">
            <w:pPr>
              <w:spacing w:after="200" w:line="240" w:lineRule="auto"/>
              <w:rPr>
                <w:rFonts w:asciiTheme="minorHAnsi" w:eastAsia="Times New Roman" w:hAnsiTheme="minorHAnsi" w:cstheme="minorHAnsi"/>
                <w:sz w:val="18"/>
                <w:szCs w:val="18"/>
              </w:rPr>
            </w:pPr>
            <w:r w:rsidRPr="00A46755">
              <w:rPr>
                <w:rFonts w:asciiTheme="minorHAnsi" w:eastAsia="Times New Roman" w:hAnsiTheme="minorHAnsi" w:cstheme="minorHAnsi"/>
                <w:sz w:val="18"/>
                <w:szCs w:val="18"/>
              </w:rPr>
              <w:t>Adverse events</w:t>
            </w:r>
          </w:p>
        </w:tc>
        <w:tc>
          <w:tcPr>
            <w:tcW w:w="1192" w:type="dxa"/>
            <w:shd w:val="clear" w:color="auto" w:fill="auto"/>
            <w:tcMar>
              <w:top w:w="100" w:type="dxa"/>
              <w:left w:w="100" w:type="dxa"/>
              <w:bottom w:w="100" w:type="dxa"/>
              <w:right w:w="100" w:type="dxa"/>
            </w:tcMar>
          </w:tcPr>
          <w:p w14:paraId="37BF7297" w14:textId="77777777" w:rsidR="007A13A2" w:rsidRPr="00A46755" w:rsidRDefault="007A13A2" w:rsidP="00460762">
            <w:pPr>
              <w:autoSpaceDE w:val="0"/>
              <w:autoSpaceDN w:val="0"/>
              <w:adjustRightInd w:val="0"/>
              <w:spacing w:after="200" w:line="240" w:lineRule="auto"/>
              <w:rPr>
                <w:rFonts w:asciiTheme="minorHAnsi" w:hAnsiTheme="minorHAnsi" w:cs="KhbfffAdvTTb5929f4c"/>
                <w:color w:val="131413"/>
                <w:sz w:val="18"/>
                <w:szCs w:val="18"/>
                <w:lang w:val="en-CA"/>
              </w:rPr>
            </w:pPr>
            <w:r w:rsidRPr="00A46755">
              <w:rPr>
                <w:rFonts w:asciiTheme="minorHAnsi" w:hAnsiTheme="minorHAnsi" w:cs="KhbfffAdvTTb5929f4c"/>
                <w:color w:val="131413"/>
                <w:sz w:val="18"/>
                <w:szCs w:val="18"/>
                <w:lang w:val="en-CA"/>
              </w:rPr>
              <w:lastRenderedPageBreak/>
              <w:t xml:space="preserve">Supported by the National Key R&amp;D Program of </w:t>
            </w:r>
            <w:r w:rsidRPr="00A46755">
              <w:rPr>
                <w:rFonts w:asciiTheme="minorHAnsi" w:hAnsiTheme="minorHAnsi" w:cs="KhbfffAdvTTb5929f4c"/>
                <w:color w:val="131413"/>
                <w:sz w:val="18"/>
                <w:szCs w:val="18"/>
                <w:lang w:val="en-CA"/>
              </w:rPr>
              <w:lastRenderedPageBreak/>
              <w:t xml:space="preserve">China, the National Natural Science Foundation of China, the </w:t>
            </w:r>
            <w:r w:rsidRPr="00A46755">
              <w:rPr>
                <w:rFonts w:asciiTheme="minorHAnsi" w:hAnsiTheme="minorHAnsi" w:cs="XrrjrtAdvTTb5929f4c+20"/>
                <w:color w:val="131413"/>
                <w:sz w:val="18"/>
                <w:szCs w:val="18"/>
                <w:lang w:val="en-CA"/>
              </w:rPr>
              <w:t>“</w:t>
            </w:r>
            <w:r w:rsidRPr="00A46755">
              <w:rPr>
                <w:rFonts w:asciiTheme="minorHAnsi" w:hAnsiTheme="minorHAnsi" w:cs="KhbfffAdvTTb5929f4c"/>
                <w:color w:val="131413"/>
                <w:sz w:val="18"/>
                <w:szCs w:val="18"/>
                <w:lang w:val="en-CA"/>
              </w:rPr>
              <w:t>Double First-Class</w:t>
            </w:r>
            <w:r w:rsidRPr="00A46755">
              <w:rPr>
                <w:rFonts w:asciiTheme="minorHAnsi" w:hAnsiTheme="minorHAnsi" w:cs="XrrjrtAdvTTb5929f4c+20"/>
                <w:color w:val="131413"/>
                <w:sz w:val="18"/>
                <w:szCs w:val="18"/>
                <w:lang w:val="en-CA"/>
              </w:rPr>
              <w:t xml:space="preserve">” </w:t>
            </w:r>
            <w:r w:rsidRPr="00A46755">
              <w:rPr>
                <w:rFonts w:asciiTheme="minorHAnsi" w:hAnsiTheme="minorHAnsi" w:cs="KhbfffAdvTTb5929f4c"/>
                <w:color w:val="131413"/>
                <w:sz w:val="18"/>
                <w:szCs w:val="18"/>
                <w:lang w:val="en-CA"/>
              </w:rPr>
              <w:t>University Project, the China Postdoctoral Science Foundation, the Science Foundation of Jiangsu Commission of Health, and the Emergency Project for the Prevention and Control of the Novel Coronavirus Outbreak in Suzhou.</w:t>
            </w:r>
          </w:p>
        </w:tc>
      </w:tr>
      <w:tr w:rsidR="007A13A2" w:rsidRPr="00A46755" w14:paraId="1B243E59" w14:textId="77777777" w:rsidTr="00460762">
        <w:trPr>
          <w:trHeight w:val="495"/>
        </w:trPr>
        <w:tc>
          <w:tcPr>
            <w:tcW w:w="727" w:type="dxa"/>
          </w:tcPr>
          <w:p w14:paraId="63626C33" w14:textId="77777777" w:rsidR="007A13A2" w:rsidRPr="00A46755" w:rsidRDefault="007A13A2" w:rsidP="00460762">
            <w:pPr>
              <w:spacing w:after="200" w:line="240" w:lineRule="auto"/>
              <w:rPr>
                <w:rFonts w:eastAsia="Times New Roman" w:cstheme="minorHAnsi"/>
                <w:sz w:val="18"/>
                <w:szCs w:val="18"/>
                <w:vertAlign w:val="superscript"/>
              </w:rPr>
            </w:pPr>
            <w:r w:rsidRPr="00A46755">
              <w:rPr>
                <w:rFonts w:eastAsia="Times New Roman" w:cstheme="minorHAnsi"/>
                <w:sz w:val="18"/>
                <w:szCs w:val="18"/>
              </w:rPr>
              <w:lastRenderedPageBreak/>
              <w:t>Salton/2020</w:t>
            </w:r>
            <w:r w:rsidRPr="00A46755">
              <w:rPr>
                <w:rFonts w:eastAsia="Times New Roman" w:cstheme="minorHAnsi"/>
                <w:sz w:val="18"/>
                <w:szCs w:val="18"/>
                <w:vertAlign w:val="superscript"/>
              </w:rPr>
              <w:t xml:space="preserve"> 6</w:t>
            </w:r>
          </w:p>
        </w:tc>
        <w:tc>
          <w:tcPr>
            <w:tcW w:w="941" w:type="dxa"/>
          </w:tcPr>
          <w:p w14:paraId="51DDCC80" w14:textId="77777777" w:rsidR="007A13A2" w:rsidRPr="00A46755" w:rsidRDefault="007A13A2" w:rsidP="00460762">
            <w:pPr>
              <w:spacing w:after="200" w:line="240" w:lineRule="auto"/>
              <w:rPr>
                <w:rFonts w:eastAsia="Times New Roman" w:cstheme="minorHAnsi"/>
                <w:sz w:val="18"/>
                <w:szCs w:val="18"/>
              </w:rPr>
            </w:pPr>
            <w:r w:rsidRPr="00A46755">
              <w:rPr>
                <w:rFonts w:eastAsia="Times New Roman" w:cstheme="minorHAnsi"/>
                <w:sz w:val="18"/>
                <w:szCs w:val="18"/>
              </w:rPr>
              <w:t>Italy/</w:t>
            </w:r>
          </w:p>
          <w:p w14:paraId="44FB1A86" w14:textId="77777777" w:rsidR="007A13A2" w:rsidRPr="00A46755" w:rsidRDefault="007A13A2" w:rsidP="00460762">
            <w:pPr>
              <w:pStyle w:val="NormalWeb"/>
              <w:spacing w:before="0" w:beforeAutospacing="0" w:after="200" w:afterAutospacing="0"/>
              <w:rPr>
                <w:rFonts w:asciiTheme="minorHAnsi" w:hAnsiTheme="minorHAnsi" w:cstheme="minorHAnsi"/>
                <w:sz w:val="18"/>
                <w:szCs w:val="18"/>
              </w:rPr>
            </w:pPr>
            <w:r w:rsidRPr="00A46755">
              <w:rPr>
                <w:rFonts w:asciiTheme="minorHAnsi" w:hAnsiTheme="minorHAnsi" w:cstheme="minorHAnsi"/>
                <w:sz w:val="18"/>
                <w:szCs w:val="18"/>
              </w:rPr>
              <w:t xml:space="preserve">14 Respiratory High </w:t>
            </w:r>
            <w:r w:rsidRPr="00A46755">
              <w:rPr>
                <w:rFonts w:asciiTheme="minorHAnsi" w:hAnsiTheme="minorHAnsi" w:cstheme="minorHAnsi"/>
                <w:sz w:val="18"/>
                <w:szCs w:val="18"/>
              </w:rPr>
              <w:lastRenderedPageBreak/>
              <w:t>Dependency Units</w:t>
            </w:r>
          </w:p>
        </w:tc>
        <w:tc>
          <w:tcPr>
            <w:tcW w:w="795" w:type="dxa"/>
          </w:tcPr>
          <w:p w14:paraId="70356037" w14:textId="77777777" w:rsidR="007A13A2" w:rsidRPr="00A46755" w:rsidRDefault="007A13A2" w:rsidP="00460762">
            <w:pPr>
              <w:spacing w:after="200" w:line="240" w:lineRule="auto"/>
              <w:rPr>
                <w:rFonts w:eastAsia="Times New Roman"/>
                <w:sz w:val="18"/>
                <w:szCs w:val="18"/>
              </w:rPr>
            </w:pPr>
            <w:r w:rsidRPr="00A46755">
              <w:rPr>
                <w:rFonts w:eastAsia="Times New Roman"/>
                <w:sz w:val="18"/>
                <w:szCs w:val="18"/>
              </w:rPr>
              <w:lastRenderedPageBreak/>
              <w:t>Observational longitudinal</w:t>
            </w:r>
          </w:p>
        </w:tc>
        <w:tc>
          <w:tcPr>
            <w:tcW w:w="1350" w:type="dxa"/>
          </w:tcPr>
          <w:p w14:paraId="4AB92081" w14:textId="77777777" w:rsidR="007A13A2" w:rsidRPr="00A46755" w:rsidRDefault="007A13A2" w:rsidP="00460762">
            <w:pPr>
              <w:spacing w:after="200" w:line="240" w:lineRule="auto"/>
              <w:rPr>
                <w:rFonts w:eastAsia="Times New Roman" w:cstheme="minorHAnsi"/>
                <w:sz w:val="18"/>
                <w:szCs w:val="18"/>
              </w:rPr>
            </w:pPr>
            <w:r w:rsidRPr="00A46755">
              <w:rPr>
                <w:rFonts w:eastAsia="Times New Roman" w:cstheme="minorHAnsi"/>
                <w:sz w:val="18"/>
                <w:szCs w:val="18"/>
              </w:rPr>
              <w:t>173</w:t>
            </w:r>
          </w:p>
          <w:p w14:paraId="3B20DEE3" w14:textId="77777777" w:rsidR="007A13A2" w:rsidRPr="00A46755" w:rsidRDefault="007A13A2" w:rsidP="00460762">
            <w:pPr>
              <w:spacing w:after="200" w:line="240" w:lineRule="auto"/>
              <w:rPr>
                <w:rFonts w:eastAsia="Times New Roman" w:cstheme="minorHAnsi"/>
                <w:sz w:val="18"/>
                <w:szCs w:val="18"/>
              </w:rPr>
            </w:pPr>
            <w:r w:rsidRPr="00A46755">
              <w:rPr>
                <w:rFonts w:eastAsia="Times New Roman" w:cstheme="minorHAnsi"/>
                <w:sz w:val="18"/>
                <w:szCs w:val="18"/>
              </w:rPr>
              <w:t>(83/90)</w:t>
            </w:r>
          </w:p>
        </w:tc>
        <w:tc>
          <w:tcPr>
            <w:tcW w:w="810" w:type="dxa"/>
          </w:tcPr>
          <w:p w14:paraId="77138520" w14:textId="77777777" w:rsidR="007A13A2" w:rsidRPr="00A46755" w:rsidRDefault="007A13A2" w:rsidP="00460762">
            <w:pPr>
              <w:spacing w:after="200" w:line="240" w:lineRule="auto"/>
              <w:rPr>
                <w:rFonts w:eastAsia="Times New Roman" w:cstheme="minorHAnsi"/>
                <w:sz w:val="18"/>
                <w:szCs w:val="18"/>
              </w:rPr>
            </w:pPr>
            <w:r w:rsidRPr="00A46755">
              <w:rPr>
                <w:rFonts w:eastAsia="Times New Roman" w:cstheme="minorHAnsi"/>
                <w:sz w:val="18"/>
                <w:szCs w:val="18"/>
              </w:rPr>
              <w:t xml:space="preserve"> 30.6</w:t>
            </w:r>
          </w:p>
        </w:tc>
        <w:tc>
          <w:tcPr>
            <w:tcW w:w="1260" w:type="dxa"/>
          </w:tcPr>
          <w:p w14:paraId="42E71496" w14:textId="77777777" w:rsidR="007A13A2" w:rsidRPr="00A46755" w:rsidRDefault="007A13A2" w:rsidP="00460762">
            <w:pPr>
              <w:spacing w:after="200" w:line="240" w:lineRule="auto"/>
              <w:rPr>
                <w:rFonts w:eastAsia="Times New Roman" w:cstheme="minorHAnsi"/>
                <w:sz w:val="18"/>
                <w:szCs w:val="18"/>
              </w:rPr>
            </w:pPr>
            <w:r w:rsidRPr="00A46755">
              <w:rPr>
                <w:rFonts w:eastAsia="Times New Roman" w:cstheme="minorHAnsi"/>
                <w:sz w:val="18"/>
                <w:szCs w:val="18"/>
              </w:rPr>
              <w:t xml:space="preserve"> Mean (SD): 64.4 (10.7) in intervention / 67.1 (8.2) in comparator </w:t>
            </w:r>
          </w:p>
        </w:tc>
        <w:tc>
          <w:tcPr>
            <w:tcW w:w="1890" w:type="dxa"/>
          </w:tcPr>
          <w:p w14:paraId="360D90FD" w14:textId="77777777" w:rsidR="007A13A2" w:rsidRPr="00A46755" w:rsidRDefault="007A13A2" w:rsidP="00460762">
            <w:pPr>
              <w:spacing w:after="200" w:line="240" w:lineRule="auto"/>
              <w:rPr>
                <w:rFonts w:eastAsia="Times New Roman"/>
                <w:sz w:val="18"/>
                <w:szCs w:val="18"/>
              </w:rPr>
            </w:pPr>
            <w:r w:rsidRPr="00A46755">
              <w:rPr>
                <w:rFonts w:eastAsia="Times New Roman"/>
                <w:sz w:val="18"/>
                <w:szCs w:val="18"/>
              </w:rPr>
              <w:t xml:space="preserve">Hospitalized patients with SARS-CoV-2 positive (on swab or bronchial wash), PaO2:FiO2 &lt;250 mmHg, bilateral </w:t>
            </w:r>
            <w:r w:rsidRPr="00A46755">
              <w:rPr>
                <w:rFonts w:eastAsia="Times New Roman"/>
                <w:sz w:val="18"/>
                <w:szCs w:val="18"/>
              </w:rPr>
              <w:lastRenderedPageBreak/>
              <w:t>infiltrates, CRP &gt;100 mg/L, and/or diagnosis of ARDS</w:t>
            </w:r>
          </w:p>
        </w:tc>
        <w:tc>
          <w:tcPr>
            <w:tcW w:w="1440" w:type="dxa"/>
          </w:tcPr>
          <w:p w14:paraId="4180133A" w14:textId="77777777" w:rsidR="007A13A2" w:rsidRPr="00A46755" w:rsidRDefault="007A13A2" w:rsidP="00460762">
            <w:pPr>
              <w:spacing w:after="200" w:line="240" w:lineRule="auto"/>
              <w:rPr>
                <w:rFonts w:eastAsia="Times New Roman"/>
                <w:sz w:val="18"/>
                <w:szCs w:val="18"/>
              </w:rPr>
            </w:pPr>
            <w:r w:rsidRPr="00A46755">
              <w:rPr>
                <w:rFonts w:eastAsia="Times New Roman"/>
                <w:sz w:val="18"/>
                <w:szCs w:val="18"/>
              </w:rPr>
              <w:lastRenderedPageBreak/>
              <w:t xml:space="preserve">Methylprednisolone loading dose of 80 mg/kg iv at study entry, followed by an </w:t>
            </w:r>
            <w:r w:rsidRPr="00A46755">
              <w:rPr>
                <w:rFonts w:eastAsia="Times New Roman"/>
                <w:sz w:val="18"/>
                <w:szCs w:val="18"/>
              </w:rPr>
              <w:lastRenderedPageBreak/>
              <w:t xml:space="preserve">infusion of 80 mg/day in 240 mL normal saline at 10 mL/h until achieving either a PaO2:FiO2 &gt; 350 mmHg or a CRP &lt; 20 mg/L. After which, oral administration at 16 mg or 20 mg iv twice daily until CRP reached &lt; 20% of normal range or a PaO2:FiO2 &gt; 400 (alternative SatHbO2 ≥ 95% on room air) </w:t>
            </w:r>
          </w:p>
          <w:p w14:paraId="696E5F53" w14:textId="77777777" w:rsidR="007A13A2" w:rsidRPr="00A46755" w:rsidRDefault="007A13A2" w:rsidP="00460762">
            <w:pPr>
              <w:spacing w:after="200" w:line="240" w:lineRule="auto"/>
              <w:rPr>
                <w:rFonts w:eastAsia="Times New Roman"/>
                <w:sz w:val="18"/>
                <w:szCs w:val="18"/>
              </w:rPr>
            </w:pPr>
          </w:p>
          <w:p w14:paraId="4A4BE964" w14:textId="77777777" w:rsidR="007A13A2" w:rsidRPr="00A46755" w:rsidRDefault="007A13A2" w:rsidP="00460762">
            <w:pPr>
              <w:spacing w:after="200" w:line="240" w:lineRule="auto"/>
              <w:rPr>
                <w:rFonts w:eastAsia="Times New Roman"/>
                <w:sz w:val="18"/>
                <w:szCs w:val="18"/>
              </w:rPr>
            </w:pPr>
            <w:r w:rsidRPr="00A46755">
              <w:rPr>
                <w:rFonts w:eastAsia="Times New Roman"/>
                <w:sz w:val="18"/>
                <w:szCs w:val="18"/>
              </w:rPr>
              <w:t>(</w:t>
            </w:r>
            <w:proofErr w:type="gramStart"/>
            <w:r w:rsidRPr="00A46755">
              <w:rPr>
                <w:rFonts w:eastAsia="Times New Roman"/>
                <w:sz w:val="18"/>
                <w:szCs w:val="18"/>
              </w:rPr>
              <w:t>median</w:t>
            </w:r>
            <w:proofErr w:type="gramEnd"/>
            <w:r w:rsidRPr="00A46755">
              <w:rPr>
                <w:rFonts w:eastAsia="Times New Roman"/>
                <w:sz w:val="18"/>
                <w:szCs w:val="18"/>
              </w:rPr>
              <w:t xml:space="preserve"> time to steroid treatment from symptom onset not reported)</w:t>
            </w:r>
          </w:p>
        </w:tc>
        <w:tc>
          <w:tcPr>
            <w:tcW w:w="1170" w:type="dxa"/>
          </w:tcPr>
          <w:p w14:paraId="5D456CEE" w14:textId="77777777" w:rsidR="007A13A2" w:rsidRPr="00A46755" w:rsidRDefault="007A13A2" w:rsidP="00460762">
            <w:pPr>
              <w:spacing w:after="200" w:line="240" w:lineRule="auto"/>
              <w:rPr>
                <w:rFonts w:eastAsia="Times New Roman"/>
                <w:sz w:val="18"/>
                <w:szCs w:val="18"/>
              </w:rPr>
            </w:pPr>
            <w:r w:rsidRPr="00A46755">
              <w:rPr>
                <w:rFonts w:eastAsia="Times New Roman"/>
                <w:sz w:val="18"/>
                <w:szCs w:val="18"/>
              </w:rPr>
              <w:lastRenderedPageBreak/>
              <w:t>(1) SoC</w:t>
            </w:r>
          </w:p>
        </w:tc>
        <w:tc>
          <w:tcPr>
            <w:tcW w:w="1260" w:type="dxa"/>
          </w:tcPr>
          <w:p w14:paraId="4B70CADD" w14:textId="77777777" w:rsidR="007A13A2" w:rsidRPr="00A46755" w:rsidRDefault="007A13A2" w:rsidP="00460762">
            <w:pPr>
              <w:spacing w:after="200" w:line="240" w:lineRule="auto"/>
              <w:rPr>
                <w:rFonts w:eastAsia="Times New Roman" w:cstheme="minorHAnsi"/>
                <w:sz w:val="18"/>
                <w:szCs w:val="18"/>
              </w:rPr>
            </w:pPr>
            <w:r w:rsidRPr="00A46755">
              <w:rPr>
                <w:rFonts w:eastAsia="Times New Roman" w:cstheme="minorHAnsi"/>
                <w:sz w:val="18"/>
                <w:szCs w:val="18"/>
              </w:rPr>
              <w:t>N/A</w:t>
            </w:r>
          </w:p>
          <w:p w14:paraId="41236969" w14:textId="77777777" w:rsidR="007A13A2" w:rsidRPr="00A46755" w:rsidRDefault="007A13A2" w:rsidP="00460762">
            <w:pPr>
              <w:spacing w:after="200" w:line="240" w:lineRule="auto"/>
              <w:rPr>
                <w:rFonts w:eastAsia="Times New Roman" w:cstheme="minorHAnsi"/>
                <w:sz w:val="18"/>
                <w:szCs w:val="18"/>
              </w:rPr>
            </w:pPr>
            <w:r w:rsidRPr="00A46755">
              <w:rPr>
                <w:rFonts w:eastAsia="Times New Roman" w:cstheme="minorHAnsi"/>
                <w:sz w:val="18"/>
                <w:szCs w:val="18"/>
              </w:rPr>
              <w:t xml:space="preserve">Use of tocilizumab or other experimental </w:t>
            </w:r>
            <w:r w:rsidRPr="00A46755">
              <w:rPr>
                <w:rFonts w:eastAsia="Times New Roman" w:cstheme="minorHAnsi"/>
                <w:sz w:val="18"/>
                <w:szCs w:val="18"/>
              </w:rPr>
              <w:lastRenderedPageBreak/>
              <w:t>treatment was considered an exclusion criterion</w:t>
            </w:r>
          </w:p>
        </w:tc>
        <w:tc>
          <w:tcPr>
            <w:tcW w:w="1350" w:type="dxa"/>
            <w:tcMar>
              <w:top w:w="100" w:type="dxa"/>
              <w:left w:w="100" w:type="dxa"/>
              <w:bottom w:w="100" w:type="dxa"/>
              <w:right w:w="100" w:type="dxa"/>
            </w:tcMar>
          </w:tcPr>
          <w:p w14:paraId="068FB4EB" w14:textId="77777777" w:rsidR="007A13A2" w:rsidRPr="00A46755" w:rsidRDefault="007A13A2" w:rsidP="00460762">
            <w:pPr>
              <w:spacing w:after="200" w:line="240" w:lineRule="auto"/>
              <w:rPr>
                <w:rFonts w:asciiTheme="minorHAnsi" w:eastAsia="Times New Roman" w:hAnsiTheme="minorHAnsi" w:cstheme="minorHAnsi"/>
                <w:sz w:val="18"/>
                <w:szCs w:val="18"/>
              </w:rPr>
            </w:pPr>
            <w:r w:rsidRPr="00A46755">
              <w:rPr>
                <w:rFonts w:asciiTheme="minorHAnsi" w:eastAsia="Times New Roman" w:hAnsiTheme="minorHAnsi" w:cstheme="minorHAnsi"/>
                <w:sz w:val="18"/>
                <w:szCs w:val="18"/>
              </w:rPr>
              <w:lastRenderedPageBreak/>
              <w:t>Mortality</w:t>
            </w:r>
          </w:p>
          <w:p w14:paraId="521C51B1" w14:textId="77777777" w:rsidR="007A13A2" w:rsidRPr="00A46755" w:rsidRDefault="007A13A2" w:rsidP="00460762">
            <w:pPr>
              <w:spacing w:after="200" w:line="240" w:lineRule="auto"/>
              <w:rPr>
                <w:rFonts w:asciiTheme="minorHAnsi" w:eastAsia="Times New Roman" w:hAnsiTheme="minorHAnsi"/>
                <w:sz w:val="18"/>
                <w:szCs w:val="18"/>
              </w:rPr>
            </w:pPr>
            <w:r w:rsidRPr="00A46755">
              <w:rPr>
                <w:rFonts w:asciiTheme="minorHAnsi" w:eastAsia="Times New Roman" w:hAnsiTheme="minorHAnsi"/>
                <w:sz w:val="18"/>
                <w:szCs w:val="18"/>
              </w:rPr>
              <w:t xml:space="preserve">Transfer to ICU </w:t>
            </w:r>
          </w:p>
          <w:p w14:paraId="2376E797" w14:textId="77777777" w:rsidR="007A13A2" w:rsidRPr="00A46755" w:rsidRDefault="007A13A2" w:rsidP="00460762">
            <w:pPr>
              <w:spacing w:after="200" w:line="240" w:lineRule="auto"/>
              <w:rPr>
                <w:rFonts w:asciiTheme="minorHAnsi" w:eastAsia="Times New Roman" w:hAnsiTheme="minorHAnsi"/>
                <w:sz w:val="18"/>
                <w:szCs w:val="18"/>
              </w:rPr>
            </w:pPr>
            <w:r w:rsidRPr="00A46755">
              <w:rPr>
                <w:rFonts w:asciiTheme="minorHAnsi" w:eastAsia="Times New Roman" w:hAnsiTheme="minorHAnsi"/>
                <w:sz w:val="18"/>
                <w:szCs w:val="18"/>
              </w:rPr>
              <w:t xml:space="preserve">Duration of invasive mechanical </w:t>
            </w:r>
            <w:r w:rsidRPr="00A46755">
              <w:rPr>
                <w:rFonts w:asciiTheme="minorHAnsi" w:eastAsia="Times New Roman" w:hAnsiTheme="minorHAnsi"/>
                <w:sz w:val="18"/>
                <w:szCs w:val="18"/>
              </w:rPr>
              <w:lastRenderedPageBreak/>
              <w:t>ventilation (days)</w:t>
            </w:r>
          </w:p>
          <w:p w14:paraId="239F621A" w14:textId="77777777" w:rsidR="007A13A2" w:rsidRPr="00A46755" w:rsidRDefault="007A13A2" w:rsidP="00460762">
            <w:pPr>
              <w:spacing w:after="200" w:line="240" w:lineRule="auto"/>
              <w:rPr>
                <w:rFonts w:asciiTheme="minorHAnsi" w:eastAsia="Times New Roman" w:hAnsiTheme="minorHAnsi" w:cstheme="minorHAnsi"/>
                <w:sz w:val="18"/>
                <w:szCs w:val="18"/>
              </w:rPr>
            </w:pPr>
            <w:r w:rsidRPr="00A46755">
              <w:rPr>
                <w:rFonts w:asciiTheme="minorHAnsi" w:eastAsia="Times New Roman" w:hAnsiTheme="minorHAnsi" w:cstheme="minorHAnsi"/>
                <w:sz w:val="18"/>
                <w:szCs w:val="18"/>
              </w:rPr>
              <w:t>Risk of composite primary endpoint</w:t>
            </w:r>
          </w:p>
          <w:p w14:paraId="3483358B" w14:textId="77777777" w:rsidR="007A13A2" w:rsidRPr="00A46755" w:rsidRDefault="007A13A2" w:rsidP="00460762">
            <w:pPr>
              <w:spacing w:after="200" w:line="240" w:lineRule="auto"/>
              <w:rPr>
                <w:rFonts w:asciiTheme="minorHAnsi" w:eastAsia="Times New Roman" w:hAnsiTheme="minorHAnsi" w:cstheme="minorHAnsi"/>
                <w:sz w:val="18"/>
                <w:szCs w:val="18"/>
              </w:rPr>
            </w:pPr>
            <w:r w:rsidRPr="00A46755">
              <w:rPr>
                <w:rFonts w:asciiTheme="minorHAnsi" w:eastAsia="Times New Roman" w:hAnsiTheme="minorHAnsi" w:cstheme="minorHAnsi"/>
                <w:sz w:val="18"/>
                <w:szCs w:val="18"/>
              </w:rPr>
              <w:t>Adverse events</w:t>
            </w:r>
          </w:p>
        </w:tc>
        <w:tc>
          <w:tcPr>
            <w:tcW w:w="1192" w:type="dxa"/>
            <w:tcMar>
              <w:top w:w="100" w:type="dxa"/>
              <w:left w:w="100" w:type="dxa"/>
              <w:bottom w:w="100" w:type="dxa"/>
              <w:right w:w="100" w:type="dxa"/>
            </w:tcMar>
          </w:tcPr>
          <w:p w14:paraId="28A9F4E2" w14:textId="77777777" w:rsidR="007A13A2" w:rsidRPr="00A46755" w:rsidRDefault="007A13A2" w:rsidP="00460762">
            <w:pPr>
              <w:spacing w:after="200" w:line="240" w:lineRule="auto"/>
              <w:rPr>
                <w:rFonts w:asciiTheme="minorHAnsi" w:eastAsia="Times New Roman" w:hAnsiTheme="minorHAnsi" w:cstheme="minorHAnsi"/>
                <w:sz w:val="18"/>
                <w:szCs w:val="18"/>
              </w:rPr>
            </w:pPr>
            <w:r w:rsidRPr="00A46755">
              <w:rPr>
                <w:rFonts w:asciiTheme="minorHAnsi" w:eastAsia="Times New Roman" w:hAnsiTheme="minorHAnsi" w:cstheme="minorHAnsi"/>
                <w:sz w:val="18"/>
                <w:szCs w:val="18"/>
              </w:rPr>
              <w:lastRenderedPageBreak/>
              <w:t xml:space="preserve">Supported with the resources and use of facilities at the </w:t>
            </w:r>
            <w:r w:rsidRPr="00A46755">
              <w:rPr>
                <w:rFonts w:asciiTheme="minorHAnsi" w:eastAsia="Times New Roman" w:hAnsiTheme="minorHAnsi" w:cstheme="minorHAnsi"/>
                <w:sz w:val="18"/>
                <w:szCs w:val="18"/>
              </w:rPr>
              <w:lastRenderedPageBreak/>
              <w:t xml:space="preserve">University Hospital of Trieste and Memphis VA Medical Center </w:t>
            </w:r>
          </w:p>
        </w:tc>
      </w:tr>
      <w:tr w:rsidR="007A13A2" w:rsidRPr="00A46755" w14:paraId="5D869E94" w14:textId="77777777" w:rsidTr="00460762">
        <w:trPr>
          <w:trHeight w:val="495"/>
        </w:trPr>
        <w:tc>
          <w:tcPr>
            <w:tcW w:w="727" w:type="dxa"/>
          </w:tcPr>
          <w:p w14:paraId="5878914E" w14:textId="77777777" w:rsidR="007A13A2" w:rsidRPr="00A46755" w:rsidRDefault="007A13A2" w:rsidP="00460762">
            <w:pPr>
              <w:spacing w:after="200" w:line="240" w:lineRule="auto"/>
              <w:rPr>
                <w:rFonts w:eastAsia="Times New Roman" w:cstheme="minorHAnsi"/>
                <w:sz w:val="18"/>
                <w:szCs w:val="18"/>
                <w:vertAlign w:val="superscript"/>
              </w:rPr>
            </w:pPr>
            <w:r w:rsidRPr="00A46755">
              <w:rPr>
                <w:rFonts w:eastAsia="Times New Roman" w:cstheme="minorHAnsi"/>
                <w:sz w:val="18"/>
                <w:szCs w:val="18"/>
              </w:rPr>
              <w:lastRenderedPageBreak/>
              <w:t>Wang/2020</w:t>
            </w:r>
            <w:r w:rsidRPr="00A46755">
              <w:rPr>
                <w:rFonts w:eastAsia="Times New Roman" w:cstheme="minorHAnsi"/>
                <w:sz w:val="18"/>
                <w:szCs w:val="18"/>
                <w:vertAlign w:val="superscript"/>
              </w:rPr>
              <w:t xml:space="preserve"> 7</w:t>
            </w:r>
          </w:p>
        </w:tc>
        <w:tc>
          <w:tcPr>
            <w:tcW w:w="941" w:type="dxa"/>
          </w:tcPr>
          <w:p w14:paraId="246B4749" w14:textId="77777777" w:rsidR="007A13A2" w:rsidRPr="00A46755" w:rsidRDefault="007A13A2" w:rsidP="00460762">
            <w:pPr>
              <w:spacing w:after="200" w:line="240" w:lineRule="auto"/>
              <w:rPr>
                <w:rFonts w:eastAsia="Times New Roman" w:cstheme="minorHAnsi"/>
                <w:sz w:val="18"/>
                <w:szCs w:val="18"/>
              </w:rPr>
            </w:pPr>
            <w:r w:rsidRPr="00A46755">
              <w:rPr>
                <w:rFonts w:eastAsia="Times New Roman" w:cstheme="minorHAnsi"/>
                <w:sz w:val="18"/>
                <w:szCs w:val="18"/>
              </w:rPr>
              <w:t>China/</w:t>
            </w:r>
          </w:p>
          <w:p w14:paraId="429A8F37" w14:textId="77777777" w:rsidR="007A13A2" w:rsidRPr="00A46755" w:rsidRDefault="007A13A2" w:rsidP="00460762">
            <w:pPr>
              <w:spacing w:after="200" w:line="240" w:lineRule="auto"/>
              <w:rPr>
                <w:rFonts w:eastAsia="Times New Roman" w:cstheme="minorHAnsi"/>
                <w:sz w:val="18"/>
                <w:szCs w:val="18"/>
              </w:rPr>
            </w:pPr>
            <w:r w:rsidRPr="00A46755">
              <w:rPr>
                <w:rFonts w:eastAsia="Times New Roman" w:cstheme="minorHAnsi"/>
                <w:sz w:val="18"/>
                <w:szCs w:val="18"/>
              </w:rPr>
              <w:t xml:space="preserve">Union Hospital of Huazhong </w:t>
            </w:r>
            <w:r w:rsidRPr="00A46755">
              <w:rPr>
                <w:rFonts w:eastAsia="Times New Roman" w:cstheme="minorHAnsi"/>
                <w:sz w:val="18"/>
                <w:szCs w:val="18"/>
              </w:rPr>
              <w:lastRenderedPageBreak/>
              <w:t>University of Science and Technology</w:t>
            </w:r>
          </w:p>
        </w:tc>
        <w:tc>
          <w:tcPr>
            <w:tcW w:w="795" w:type="dxa"/>
          </w:tcPr>
          <w:p w14:paraId="3E7506B3" w14:textId="77777777" w:rsidR="007A13A2" w:rsidRPr="00A46755" w:rsidRDefault="007A13A2" w:rsidP="00460762">
            <w:pPr>
              <w:spacing w:after="200" w:line="240" w:lineRule="auto"/>
              <w:rPr>
                <w:rFonts w:eastAsia="Times New Roman"/>
                <w:sz w:val="18"/>
                <w:szCs w:val="18"/>
              </w:rPr>
            </w:pPr>
            <w:r w:rsidRPr="00A46755">
              <w:rPr>
                <w:rFonts w:eastAsia="Times New Roman"/>
                <w:sz w:val="18"/>
                <w:szCs w:val="18"/>
              </w:rPr>
              <w:lastRenderedPageBreak/>
              <w:t xml:space="preserve">Retrospective cohort </w:t>
            </w:r>
          </w:p>
        </w:tc>
        <w:tc>
          <w:tcPr>
            <w:tcW w:w="1350" w:type="dxa"/>
          </w:tcPr>
          <w:p w14:paraId="2A8ED313" w14:textId="77777777" w:rsidR="007A13A2" w:rsidRPr="00A46755" w:rsidRDefault="007A13A2" w:rsidP="00460762">
            <w:pPr>
              <w:spacing w:after="200" w:line="240" w:lineRule="auto"/>
              <w:rPr>
                <w:rFonts w:eastAsia="Times New Roman" w:cstheme="minorHAnsi"/>
                <w:sz w:val="18"/>
                <w:szCs w:val="18"/>
              </w:rPr>
            </w:pPr>
            <w:r w:rsidRPr="00A46755">
              <w:rPr>
                <w:rFonts w:eastAsia="Times New Roman" w:cstheme="minorHAnsi"/>
                <w:sz w:val="18"/>
                <w:szCs w:val="18"/>
              </w:rPr>
              <w:t>46</w:t>
            </w:r>
          </w:p>
          <w:p w14:paraId="444455C5" w14:textId="77777777" w:rsidR="007A13A2" w:rsidRPr="00A46755" w:rsidRDefault="007A13A2" w:rsidP="00460762">
            <w:pPr>
              <w:spacing w:after="200" w:line="240" w:lineRule="auto"/>
              <w:rPr>
                <w:rFonts w:eastAsia="Times New Roman" w:cstheme="minorHAnsi"/>
                <w:sz w:val="18"/>
                <w:szCs w:val="18"/>
              </w:rPr>
            </w:pPr>
            <w:r w:rsidRPr="00A46755">
              <w:rPr>
                <w:rFonts w:eastAsia="Times New Roman" w:cstheme="minorHAnsi"/>
                <w:sz w:val="18"/>
                <w:szCs w:val="18"/>
              </w:rPr>
              <w:t>(26/20)</w:t>
            </w:r>
          </w:p>
        </w:tc>
        <w:tc>
          <w:tcPr>
            <w:tcW w:w="810" w:type="dxa"/>
          </w:tcPr>
          <w:p w14:paraId="0C9B468E" w14:textId="77777777" w:rsidR="007A13A2" w:rsidRPr="00A46755" w:rsidRDefault="007A13A2" w:rsidP="00460762">
            <w:pPr>
              <w:spacing w:after="200" w:line="240" w:lineRule="auto"/>
              <w:rPr>
                <w:rFonts w:eastAsia="Times New Roman" w:cstheme="minorHAnsi"/>
                <w:sz w:val="18"/>
                <w:szCs w:val="18"/>
              </w:rPr>
            </w:pPr>
            <w:r w:rsidRPr="00A46755">
              <w:rPr>
                <w:rFonts w:eastAsia="Times New Roman" w:cstheme="minorHAnsi"/>
                <w:sz w:val="18"/>
                <w:szCs w:val="18"/>
              </w:rPr>
              <w:t>43.0</w:t>
            </w:r>
          </w:p>
        </w:tc>
        <w:tc>
          <w:tcPr>
            <w:tcW w:w="1260" w:type="dxa"/>
          </w:tcPr>
          <w:p w14:paraId="3BEE5CD9" w14:textId="77777777" w:rsidR="007A13A2" w:rsidRPr="00A46755" w:rsidRDefault="007A13A2" w:rsidP="00460762">
            <w:pPr>
              <w:spacing w:after="200" w:line="240" w:lineRule="auto"/>
              <w:rPr>
                <w:rFonts w:eastAsia="Times New Roman" w:cstheme="minorHAnsi"/>
                <w:sz w:val="18"/>
                <w:szCs w:val="18"/>
              </w:rPr>
            </w:pPr>
            <w:r w:rsidRPr="00A46755">
              <w:rPr>
                <w:rFonts w:eastAsia="Times New Roman" w:cstheme="minorHAnsi"/>
                <w:sz w:val="18"/>
                <w:szCs w:val="18"/>
              </w:rPr>
              <w:t>Median: 54 (48-64)</w:t>
            </w:r>
          </w:p>
        </w:tc>
        <w:tc>
          <w:tcPr>
            <w:tcW w:w="1890" w:type="dxa"/>
          </w:tcPr>
          <w:p w14:paraId="426CD191" w14:textId="77777777" w:rsidR="007A13A2" w:rsidRPr="00A46755" w:rsidRDefault="007A13A2" w:rsidP="00460762">
            <w:pPr>
              <w:spacing w:after="200" w:line="240" w:lineRule="auto"/>
              <w:rPr>
                <w:rFonts w:eastAsia="Times New Roman" w:cstheme="minorHAnsi"/>
                <w:sz w:val="18"/>
                <w:szCs w:val="18"/>
              </w:rPr>
            </w:pPr>
            <w:sdt>
              <w:sdtPr>
                <w:rPr>
                  <w:rFonts w:cstheme="minorHAnsi"/>
                  <w:sz w:val="18"/>
                  <w:szCs w:val="18"/>
                </w:rPr>
                <w:tag w:val="goog_rdk_8"/>
                <w:id w:val="470256904"/>
              </w:sdtPr>
              <w:sdtContent>
                <w:r w:rsidRPr="00A46755">
                  <w:rPr>
                    <w:rFonts w:eastAsia="Gungsuh" w:cstheme="minorHAnsi"/>
                    <w:sz w:val="18"/>
                    <w:szCs w:val="18"/>
                  </w:rPr>
                  <w:t>Severe COVID: resp rate≥ 30, in resting rate SpO</w:t>
                </w:r>
              </w:sdtContent>
            </w:sdt>
            <w:r w:rsidRPr="00A46755">
              <w:rPr>
                <w:rFonts w:eastAsia="Times New Roman" w:cstheme="minorHAnsi"/>
                <w:sz w:val="18"/>
                <w:szCs w:val="18"/>
                <w:vertAlign w:val="subscript"/>
              </w:rPr>
              <w:t xml:space="preserve">2 </w:t>
            </w:r>
            <w:r w:rsidRPr="00A46755">
              <w:rPr>
                <w:rFonts w:eastAsia="Times New Roman" w:cstheme="minorHAnsi"/>
                <w:sz w:val="18"/>
                <w:szCs w:val="18"/>
              </w:rPr>
              <w:t>≤93%</w:t>
            </w:r>
            <w:r w:rsidRPr="00A46755">
              <w:rPr>
                <w:rFonts w:eastAsia="Times New Roman" w:cstheme="minorHAnsi"/>
                <w:sz w:val="18"/>
                <w:szCs w:val="18"/>
                <w:vertAlign w:val="subscript"/>
              </w:rPr>
              <w:t xml:space="preserve">, </w:t>
            </w:r>
            <w:r w:rsidRPr="00A46755">
              <w:rPr>
                <w:rFonts w:eastAsia="Gungsuh" w:cstheme="minorHAnsi"/>
                <w:sz w:val="18"/>
                <w:szCs w:val="18"/>
              </w:rPr>
              <w:t>PaO</w:t>
            </w:r>
            <w:r w:rsidRPr="00A46755">
              <w:rPr>
                <w:rFonts w:eastAsia="Gungsuh" w:cstheme="minorHAnsi"/>
                <w:sz w:val="18"/>
                <w:szCs w:val="18"/>
                <w:vertAlign w:val="subscript"/>
              </w:rPr>
              <w:t>2</w:t>
            </w:r>
            <w:r w:rsidRPr="00A46755">
              <w:rPr>
                <w:rFonts w:eastAsia="Gungsuh" w:cstheme="minorHAnsi"/>
                <w:sz w:val="18"/>
                <w:szCs w:val="18"/>
              </w:rPr>
              <w:t>/FIO</w:t>
            </w:r>
            <w:r w:rsidRPr="00A46755">
              <w:rPr>
                <w:rFonts w:eastAsia="Gungsuh" w:cstheme="minorHAnsi"/>
                <w:sz w:val="18"/>
                <w:szCs w:val="18"/>
                <w:vertAlign w:val="subscript"/>
              </w:rPr>
              <w:t>2</w:t>
            </w:r>
            <w:r w:rsidRPr="00A46755">
              <w:rPr>
                <w:rFonts w:eastAsia="Gungsuh" w:cstheme="minorHAnsi"/>
                <w:sz w:val="18"/>
                <w:szCs w:val="18"/>
              </w:rPr>
              <w:t xml:space="preserve"> ≤ 300mmHg, other conditions such as 60+ with complication of </w:t>
            </w:r>
            <w:r w:rsidRPr="00A46755">
              <w:rPr>
                <w:rFonts w:eastAsia="Gungsuh" w:cstheme="minorHAnsi"/>
                <w:sz w:val="18"/>
                <w:szCs w:val="18"/>
              </w:rPr>
              <w:lastRenderedPageBreak/>
              <w:t>hypertension, diabetes, coronary disease, cancer, pulmonary heart disease, structural lung disease and immunosuppressed</w:t>
            </w:r>
          </w:p>
        </w:tc>
        <w:tc>
          <w:tcPr>
            <w:tcW w:w="1440" w:type="dxa"/>
          </w:tcPr>
          <w:p w14:paraId="63B06E42" w14:textId="77777777" w:rsidR="007A13A2" w:rsidRPr="00A46755" w:rsidRDefault="007A13A2" w:rsidP="00460762">
            <w:pPr>
              <w:spacing w:after="200" w:line="240" w:lineRule="auto"/>
              <w:rPr>
                <w:rFonts w:eastAsia="Times New Roman" w:cstheme="minorHAnsi"/>
                <w:sz w:val="18"/>
                <w:szCs w:val="18"/>
              </w:rPr>
            </w:pPr>
            <w:r w:rsidRPr="00A46755">
              <w:rPr>
                <w:rFonts w:eastAsia="Times New Roman" w:cstheme="minorHAnsi"/>
                <w:sz w:val="18"/>
                <w:szCs w:val="18"/>
              </w:rPr>
              <w:lastRenderedPageBreak/>
              <w:t>Methylprednisolone1-2mg/kg/day once a day x 5-7 days</w:t>
            </w:r>
          </w:p>
          <w:p w14:paraId="0282B7DE" w14:textId="77777777" w:rsidR="007A13A2" w:rsidRPr="00A46755" w:rsidRDefault="007A13A2" w:rsidP="00460762">
            <w:pPr>
              <w:spacing w:after="200" w:line="240" w:lineRule="auto"/>
              <w:rPr>
                <w:rFonts w:eastAsia="Times New Roman" w:cstheme="minorHAnsi"/>
                <w:sz w:val="18"/>
                <w:szCs w:val="18"/>
              </w:rPr>
            </w:pPr>
          </w:p>
          <w:p w14:paraId="6BD4639D" w14:textId="77777777" w:rsidR="007A13A2" w:rsidRPr="00A46755" w:rsidRDefault="007A13A2" w:rsidP="00460762">
            <w:pPr>
              <w:spacing w:after="200" w:line="240" w:lineRule="auto"/>
              <w:rPr>
                <w:rFonts w:eastAsia="Times New Roman" w:cstheme="minorHAnsi"/>
                <w:sz w:val="18"/>
                <w:szCs w:val="18"/>
              </w:rPr>
            </w:pPr>
            <w:r w:rsidRPr="00A46755">
              <w:rPr>
                <w:rFonts w:eastAsia="Times New Roman"/>
                <w:sz w:val="18"/>
                <w:szCs w:val="18"/>
              </w:rPr>
              <w:t>(</w:t>
            </w:r>
            <w:proofErr w:type="gramStart"/>
            <w:r w:rsidRPr="00A46755">
              <w:rPr>
                <w:rFonts w:eastAsia="Times New Roman"/>
                <w:sz w:val="18"/>
                <w:szCs w:val="18"/>
              </w:rPr>
              <w:t>median</w:t>
            </w:r>
            <w:proofErr w:type="gramEnd"/>
            <w:r w:rsidRPr="00A46755">
              <w:rPr>
                <w:rFonts w:eastAsia="Times New Roman"/>
                <w:sz w:val="18"/>
                <w:szCs w:val="18"/>
              </w:rPr>
              <w:t xml:space="preserve"> time to steroid treatment from symptom onset not reported)</w:t>
            </w:r>
          </w:p>
        </w:tc>
        <w:tc>
          <w:tcPr>
            <w:tcW w:w="1170" w:type="dxa"/>
          </w:tcPr>
          <w:p w14:paraId="4DFE5F12" w14:textId="77777777" w:rsidR="007A13A2" w:rsidRPr="00A46755" w:rsidRDefault="007A13A2" w:rsidP="00460762">
            <w:pPr>
              <w:spacing w:after="200" w:line="240" w:lineRule="auto"/>
            </w:pPr>
            <w:r w:rsidRPr="00A46755">
              <w:rPr>
                <w:rFonts w:eastAsia="Times New Roman"/>
                <w:sz w:val="18"/>
                <w:szCs w:val="18"/>
              </w:rPr>
              <w:lastRenderedPageBreak/>
              <w:t>(1) SoC</w:t>
            </w:r>
          </w:p>
        </w:tc>
        <w:tc>
          <w:tcPr>
            <w:tcW w:w="1260" w:type="dxa"/>
          </w:tcPr>
          <w:p w14:paraId="329208A3" w14:textId="77777777" w:rsidR="007A13A2" w:rsidRPr="00A46755" w:rsidRDefault="007A13A2" w:rsidP="00460762">
            <w:pPr>
              <w:spacing w:after="200" w:line="240" w:lineRule="auto"/>
              <w:rPr>
                <w:rFonts w:eastAsia="Times New Roman" w:cstheme="minorHAnsi"/>
                <w:sz w:val="18"/>
                <w:szCs w:val="18"/>
              </w:rPr>
            </w:pPr>
            <w:r w:rsidRPr="00A46755">
              <w:rPr>
                <w:rFonts w:eastAsia="Times New Roman" w:cstheme="minorHAnsi"/>
                <w:sz w:val="18"/>
                <w:szCs w:val="18"/>
                <w:lang w:val="en-CA"/>
              </w:rPr>
              <w:t xml:space="preserve">Oxygen therapy, antiviral therapy (a-interferon, lopinavir/ritonavir), </w:t>
            </w:r>
            <w:r w:rsidRPr="00A46755">
              <w:rPr>
                <w:rFonts w:eastAsia="Times New Roman" w:cstheme="minorHAnsi"/>
                <w:sz w:val="18"/>
                <w:szCs w:val="18"/>
              </w:rPr>
              <w:lastRenderedPageBreak/>
              <w:t>immunoenhancement therapy (thymosin), prevention of bacterial infection, relieving cough eliminating phlegm and nutritional support</w:t>
            </w:r>
          </w:p>
        </w:tc>
        <w:tc>
          <w:tcPr>
            <w:tcW w:w="1350" w:type="dxa"/>
            <w:tcMar>
              <w:top w:w="100" w:type="dxa"/>
              <w:left w:w="100" w:type="dxa"/>
              <w:bottom w:w="100" w:type="dxa"/>
              <w:right w:w="100" w:type="dxa"/>
            </w:tcMar>
          </w:tcPr>
          <w:p w14:paraId="2762198D" w14:textId="77777777" w:rsidR="007A13A2" w:rsidRPr="00A46755" w:rsidRDefault="007A13A2" w:rsidP="00460762">
            <w:pPr>
              <w:spacing w:after="200" w:line="240" w:lineRule="auto"/>
              <w:rPr>
                <w:rFonts w:eastAsia="Times New Roman" w:cstheme="minorHAnsi"/>
                <w:sz w:val="18"/>
                <w:szCs w:val="18"/>
              </w:rPr>
            </w:pPr>
            <w:r w:rsidRPr="00A46755">
              <w:rPr>
                <w:rFonts w:eastAsia="Times New Roman" w:cstheme="minorHAnsi"/>
                <w:sz w:val="18"/>
                <w:szCs w:val="18"/>
              </w:rPr>
              <w:lastRenderedPageBreak/>
              <w:t>Mortality</w:t>
            </w:r>
          </w:p>
          <w:p w14:paraId="797B02DF" w14:textId="77777777" w:rsidR="007A13A2" w:rsidRPr="00A46755" w:rsidRDefault="007A13A2" w:rsidP="00460762">
            <w:pPr>
              <w:spacing w:after="200" w:line="240" w:lineRule="auto"/>
              <w:rPr>
                <w:rFonts w:eastAsia="Times New Roman" w:cstheme="minorHAnsi"/>
                <w:sz w:val="18"/>
                <w:szCs w:val="18"/>
              </w:rPr>
            </w:pPr>
            <w:r w:rsidRPr="00A46755">
              <w:rPr>
                <w:rFonts w:eastAsia="Times New Roman" w:cstheme="minorHAnsi"/>
                <w:sz w:val="18"/>
                <w:szCs w:val="18"/>
              </w:rPr>
              <w:t>Hospital Discharge</w:t>
            </w:r>
          </w:p>
          <w:p w14:paraId="7F2A1E3E" w14:textId="77777777" w:rsidR="007A13A2" w:rsidRPr="00A46755" w:rsidRDefault="007A13A2" w:rsidP="00460762">
            <w:pPr>
              <w:spacing w:after="200" w:line="240" w:lineRule="auto"/>
              <w:rPr>
                <w:rFonts w:eastAsia="Times New Roman" w:cstheme="minorHAnsi"/>
                <w:sz w:val="18"/>
                <w:szCs w:val="18"/>
              </w:rPr>
            </w:pPr>
            <w:r w:rsidRPr="00A46755">
              <w:rPr>
                <w:rFonts w:eastAsia="Times New Roman" w:cstheme="minorHAnsi"/>
                <w:sz w:val="18"/>
                <w:szCs w:val="18"/>
              </w:rPr>
              <w:lastRenderedPageBreak/>
              <w:t>Number of days for no fever</w:t>
            </w:r>
          </w:p>
          <w:p w14:paraId="0DD72CD5" w14:textId="77777777" w:rsidR="007A13A2" w:rsidRPr="00A46755" w:rsidRDefault="007A13A2" w:rsidP="00460762">
            <w:pPr>
              <w:spacing w:after="200" w:line="240" w:lineRule="auto"/>
              <w:rPr>
                <w:rFonts w:eastAsia="Times New Roman" w:cstheme="minorHAnsi"/>
                <w:sz w:val="18"/>
                <w:szCs w:val="18"/>
              </w:rPr>
            </w:pPr>
            <w:r w:rsidRPr="00A46755">
              <w:rPr>
                <w:rFonts w:eastAsia="Times New Roman" w:cstheme="minorHAnsi"/>
                <w:sz w:val="18"/>
                <w:szCs w:val="18"/>
              </w:rPr>
              <w:t>Use of supplemental oxygen therapy</w:t>
            </w:r>
          </w:p>
        </w:tc>
        <w:tc>
          <w:tcPr>
            <w:tcW w:w="1192" w:type="dxa"/>
            <w:tcMar>
              <w:top w:w="100" w:type="dxa"/>
              <w:left w:w="100" w:type="dxa"/>
              <w:bottom w:w="100" w:type="dxa"/>
              <w:right w:w="100" w:type="dxa"/>
            </w:tcMar>
          </w:tcPr>
          <w:p w14:paraId="12DFA80C" w14:textId="77777777" w:rsidR="007A13A2" w:rsidRPr="00A46755" w:rsidRDefault="007A13A2" w:rsidP="00460762">
            <w:pPr>
              <w:spacing w:after="200" w:line="240" w:lineRule="auto"/>
              <w:rPr>
                <w:rFonts w:eastAsia="Times New Roman" w:cstheme="minorHAnsi"/>
                <w:sz w:val="18"/>
                <w:szCs w:val="18"/>
              </w:rPr>
            </w:pPr>
            <w:r w:rsidRPr="00A46755">
              <w:rPr>
                <w:rFonts w:eastAsia="Times New Roman" w:cstheme="minorHAnsi"/>
                <w:sz w:val="18"/>
                <w:szCs w:val="18"/>
              </w:rPr>
              <w:lastRenderedPageBreak/>
              <w:t>Natural Science Foundation of China</w:t>
            </w:r>
          </w:p>
          <w:p w14:paraId="293E7E79" w14:textId="77777777" w:rsidR="007A13A2" w:rsidRPr="00A46755" w:rsidRDefault="007A13A2" w:rsidP="00460762">
            <w:pPr>
              <w:spacing w:after="200" w:line="240" w:lineRule="auto"/>
              <w:rPr>
                <w:rFonts w:eastAsia="Times New Roman" w:cstheme="minorHAnsi"/>
                <w:sz w:val="18"/>
                <w:szCs w:val="18"/>
              </w:rPr>
            </w:pPr>
          </w:p>
        </w:tc>
      </w:tr>
      <w:tr w:rsidR="007A13A2" w:rsidRPr="00A46755" w14:paraId="47D86E9F" w14:textId="77777777" w:rsidTr="00460762">
        <w:trPr>
          <w:trHeight w:val="495"/>
        </w:trPr>
        <w:tc>
          <w:tcPr>
            <w:tcW w:w="727" w:type="dxa"/>
          </w:tcPr>
          <w:p w14:paraId="107E7D91" w14:textId="77777777" w:rsidR="007A13A2" w:rsidRPr="00A46755" w:rsidRDefault="007A13A2" w:rsidP="00460762">
            <w:pPr>
              <w:spacing w:after="200" w:line="240" w:lineRule="auto"/>
              <w:rPr>
                <w:rFonts w:eastAsia="Times New Roman"/>
                <w:sz w:val="18"/>
                <w:szCs w:val="18"/>
                <w:vertAlign w:val="superscript"/>
              </w:rPr>
            </w:pPr>
            <w:r w:rsidRPr="00A46755">
              <w:rPr>
                <w:rFonts w:eastAsia="Times New Roman"/>
                <w:sz w:val="18"/>
                <w:szCs w:val="18"/>
              </w:rPr>
              <w:t>Yuan/ 2020</w:t>
            </w:r>
            <w:r w:rsidRPr="00A46755">
              <w:rPr>
                <w:rFonts w:eastAsia="Times New Roman"/>
                <w:sz w:val="18"/>
                <w:szCs w:val="18"/>
                <w:vertAlign w:val="superscript"/>
              </w:rPr>
              <w:t xml:space="preserve"> 8</w:t>
            </w:r>
          </w:p>
        </w:tc>
        <w:tc>
          <w:tcPr>
            <w:tcW w:w="941" w:type="dxa"/>
          </w:tcPr>
          <w:p w14:paraId="5FA3E96F" w14:textId="77777777" w:rsidR="007A13A2" w:rsidRPr="00A46755" w:rsidRDefault="007A13A2" w:rsidP="00460762">
            <w:pPr>
              <w:autoSpaceDE w:val="0"/>
              <w:autoSpaceDN w:val="0"/>
              <w:adjustRightInd w:val="0"/>
              <w:spacing w:after="200" w:line="240" w:lineRule="auto"/>
              <w:rPr>
                <w:rFonts w:eastAsia="Times New Roman"/>
                <w:sz w:val="18"/>
                <w:szCs w:val="18"/>
              </w:rPr>
            </w:pPr>
            <w:r w:rsidRPr="00A46755">
              <w:rPr>
                <w:rFonts w:eastAsia="Times New Roman"/>
                <w:sz w:val="18"/>
                <w:szCs w:val="18"/>
              </w:rPr>
              <w:t xml:space="preserve">China/ </w:t>
            </w:r>
          </w:p>
          <w:p w14:paraId="2E3F2549" w14:textId="77777777" w:rsidR="007A13A2" w:rsidRPr="00A46755" w:rsidRDefault="007A13A2" w:rsidP="00460762">
            <w:pPr>
              <w:autoSpaceDE w:val="0"/>
              <w:autoSpaceDN w:val="0"/>
              <w:adjustRightInd w:val="0"/>
              <w:spacing w:after="200" w:line="240" w:lineRule="auto"/>
              <w:rPr>
                <w:rFonts w:eastAsia="Times New Roman"/>
                <w:sz w:val="18"/>
                <w:szCs w:val="18"/>
              </w:rPr>
            </w:pPr>
            <w:r w:rsidRPr="00A46755">
              <w:rPr>
                <w:rFonts w:cstheme="minorHAnsi"/>
                <w:sz w:val="18"/>
                <w:szCs w:val="18"/>
                <w:lang w:val="en-CA"/>
              </w:rPr>
              <w:t>Central Hospital of Wuhan, Tongji Medical College, Huazhong University of Science and Technology</w:t>
            </w:r>
          </w:p>
        </w:tc>
        <w:tc>
          <w:tcPr>
            <w:tcW w:w="795" w:type="dxa"/>
          </w:tcPr>
          <w:p w14:paraId="478632D1" w14:textId="77777777" w:rsidR="007A13A2" w:rsidRPr="00A46755" w:rsidRDefault="007A13A2" w:rsidP="00460762">
            <w:pPr>
              <w:spacing w:after="200" w:line="240" w:lineRule="auto"/>
              <w:rPr>
                <w:rFonts w:eastAsia="Times New Roman"/>
                <w:sz w:val="18"/>
                <w:szCs w:val="18"/>
              </w:rPr>
            </w:pPr>
            <w:r w:rsidRPr="00A46755">
              <w:rPr>
                <w:rFonts w:eastAsia="Times New Roman"/>
                <w:sz w:val="18"/>
                <w:szCs w:val="18"/>
              </w:rPr>
              <w:t>Retrospective Cohort</w:t>
            </w:r>
          </w:p>
        </w:tc>
        <w:tc>
          <w:tcPr>
            <w:tcW w:w="1350" w:type="dxa"/>
          </w:tcPr>
          <w:p w14:paraId="025858D7" w14:textId="77777777" w:rsidR="007A13A2" w:rsidRPr="00A46755" w:rsidRDefault="007A13A2" w:rsidP="00460762">
            <w:pPr>
              <w:spacing w:after="200" w:line="240" w:lineRule="auto"/>
              <w:rPr>
                <w:rFonts w:eastAsia="Times New Roman"/>
                <w:sz w:val="18"/>
                <w:szCs w:val="18"/>
              </w:rPr>
            </w:pPr>
            <w:r w:rsidRPr="00A46755">
              <w:rPr>
                <w:rFonts w:eastAsia="Times New Roman"/>
                <w:sz w:val="18"/>
                <w:szCs w:val="18"/>
              </w:rPr>
              <w:t>132</w:t>
            </w:r>
          </w:p>
          <w:p w14:paraId="1254EC93" w14:textId="77777777" w:rsidR="007A13A2" w:rsidRPr="00A46755" w:rsidRDefault="007A13A2" w:rsidP="00460762">
            <w:pPr>
              <w:spacing w:after="200" w:line="240" w:lineRule="auto"/>
              <w:rPr>
                <w:rFonts w:eastAsia="Times New Roman"/>
                <w:sz w:val="18"/>
                <w:szCs w:val="18"/>
              </w:rPr>
            </w:pPr>
            <w:r w:rsidRPr="00A46755">
              <w:rPr>
                <w:rFonts w:eastAsia="Times New Roman"/>
                <w:sz w:val="18"/>
                <w:szCs w:val="18"/>
              </w:rPr>
              <w:t>(74/58)</w:t>
            </w:r>
          </w:p>
        </w:tc>
        <w:tc>
          <w:tcPr>
            <w:tcW w:w="810" w:type="dxa"/>
          </w:tcPr>
          <w:p w14:paraId="5F048D48" w14:textId="77777777" w:rsidR="007A13A2" w:rsidRPr="00A46755" w:rsidRDefault="007A13A2" w:rsidP="00460762">
            <w:pPr>
              <w:spacing w:after="200" w:line="240" w:lineRule="auto"/>
            </w:pPr>
            <w:r w:rsidRPr="00A46755">
              <w:rPr>
                <w:rFonts w:eastAsia="Times New Roman"/>
                <w:sz w:val="18"/>
                <w:szCs w:val="18"/>
              </w:rPr>
              <w:t xml:space="preserve"> 57.6</w:t>
            </w:r>
          </w:p>
        </w:tc>
        <w:tc>
          <w:tcPr>
            <w:tcW w:w="1260" w:type="dxa"/>
          </w:tcPr>
          <w:p w14:paraId="4CACF7BF" w14:textId="77777777" w:rsidR="007A13A2" w:rsidRPr="00A46755" w:rsidRDefault="007A13A2" w:rsidP="00460762">
            <w:pPr>
              <w:spacing w:after="200" w:line="240" w:lineRule="auto"/>
              <w:rPr>
                <w:rFonts w:eastAsia="Times New Roman"/>
                <w:sz w:val="18"/>
                <w:szCs w:val="18"/>
              </w:rPr>
            </w:pPr>
            <w:r w:rsidRPr="00A46755">
              <w:rPr>
                <w:rFonts w:eastAsia="Times New Roman"/>
                <w:sz w:val="18"/>
                <w:szCs w:val="18"/>
              </w:rPr>
              <w:t xml:space="preserve"> Median (IQR): 43.7 (3.0-56.3 in intervention / 52.0 (31.8-67.0) in comparator</w:t>
            </w:r>
          </w:p>
        </w:tc>
        <w:tc>
          <w:tcPr>
            <w:tcW w:w="1890" w:type="dxa"/>
          </w:tcPr>
          <w:p w14:paraId="22A92624" w14:textId="77777777" w:rsidR="007A13A2" w:rsidRPr="00A46755" w:rsidRDefault="007A13A2" w:rsidP="00460762">
            <w:pPr>
              <w:spacing w:after="200" w:line="240" w:lineRule="auto"/>
            </w:pPr>
            <w:r w:rsidRPr="00A46755">
              <w:rPr>
                <w:rFonts w:eastAsia="Calibri" w:cs="Calibri"/>
                <w:sz w:val="18"/>
                <w:szCs w:val="18"/>
                <w:lang w:val="en-CA"/>
              </w:rPr>
              <w:t>diagnosed as non-severe COVID-19 pneumonia and discharged with recovered symptoms or developed to severe cases in the hospitalization were included</w:t>
            </w:r>
          </w:p>
        </w:tc>
        <w:tc>
          <w:tcPr>
            <w:tcW w:w="1440" w:type="dxa"/>
          </w:tcPr>
          <w:p w14:paraId="4E28FF0E" w14:textId="77777777" w:rsidR="007A13A2" w:rsidRPr="00A46755" w:rsidRDefault="007A13A2" w:rsidP="00460762">
            <w:pPr>
              <w:spacing w:after="200" w:line="240" w:lineRule="auto"/>
              <w:rPr>
                <w:rFonts w:eastAsia="Times New Roman"/>
                <w:sz w:val="18"/>
                <w:szCs w:val="18"/>
              </w:rPr>
            </w:pPr>
            <w:r w:rsidRPr="00A46755">
              <w:rPr>
                <w:rFonts w:eastAsia="Times New Roman"/>
                <w:sz w:val="18"/>
                <w:szCs w:val="18"/>
              </w:rPr>
              <w:t>Matched corticosteroid therapy maximum dose: 50.6 (40.0-50.0) and median duration of therapy: 10.7 (8-12.3)</w:t>
            </w:r>
          </w:p>
          <w:p w14:paraId="15CD9CF9" w14:textId="77777777" w:rsidR="007A13A2" w:rsidRPr="00A46755" w:rsidRDefault="007A13A2" w:rsidP="00460762">
            <w:pPr>
              <w:spacing w:after="200" w:line="240" w:lineRule="auto"/>
              <w:rPr>
                <w:rFonts w:eastAsia="Times New Roman"/>
                <w:sz w:val="18"/>
                <w:szCs w:val="18"/>
              </w:rPr>
            </w:pPr>
          </w:p>
          <w:p w14:paraId="0C0BAA9E" w14:textId="77777777" w:rsidR="007A13A2" w:rsidRPr="00A46755" w:rsidRDefault="007A13A2" w:rsidP="00460762">
            <w:pPr>
              <w:spacing w:after="200" w:line="240" w:lineRule="auto"/>
              <w:rPr>
                <w:rFonts w:eastAsia="Times New Roman"/>
                <w:sz w:val="18"/>
                <w:szCs w:val="18"/>
              </w:rPr>
            </w:pPr>
            <w:r w:rsidRPr="00A46755">
              <w:rPr>
                <w:rFonts w:eastAsia="Times New Roman"/>
                <w:sz w:val="18"/>
                <w:szCs w:val="18"/>
              </w:rPr>
              <w:t>(</w:t>
            </w:r>
            <w:proofErr w:type="gramStart"/>
            <w:r w:rsidRPr="00A46755">
              <w:rPr>
                <w:rFonts w:eastAsia="Times New Roman"/>
                <w:sz w:val="18"/>
                <w:szCs w:val="18"/>
              </w:rPr>
              <w:t>median</w:t>
            </w:r>
            <w:proofErr w:type="gramEnd"/>
            <w:r w:rsidRPr="00A46755">
              <w:rPr>
                <w:rFonts w:eastAsia="Times New Roman"/>
                <w:sz w:val="18"/>
                <w:szCs w:val="18"/>
              </w:rPr>
              <w:t xml:space="preserve"> time (IQR) to steroid treatment from symptom onset of 8.3 (5.0-10.0) days)</w:t>
            </w:r>
          </w:p>
        </w:tc>
        <w:tc>
          <w:tcPr>
            <w:tcW w:w="1170" w:type="dxa"/>
          </w:tcPr>
          <w:p w14:paraId="369D1EAE" w14:textId="77777777" w:rsidR="007A13A2" w:rsidRPr="00A46755" w:rsidRDefault="007A13A2" w:rsidP="00460762">
            <w:pPr>
              <w:spacing w:after="200" w:line="240" w:lineRule="auto"/>
              <w:rPr>
                <w:rFonts w:eastAsia="Times New Roman"/>
                <w:sz w:val="18"/>
                <w:szCs w:val="18"/>
              </w:rPr>
            </w:pPr>
            <w:r w:rsidRPr="00A46755">
              <w:rPr>
                <w:rFonts w:eastAsia="Times New Roman"/>
                <w:sz w:val="18"/>
                <w:szCs w:val="18"/>
              </w:rPr>
              <w:t>(1) SoC</w:t>
            </w:r>
          </w:p>
        </w:tc>
        <w:tc>
          <w:tcPr>
            <w:tcW w:w="1260" w:type="dxa"/>
          </w:tcPr>
          <w:p w14:paraId="44AEC44A" w14:textId="77777777" w:rsidR="007A13A2" w:rsidRPr="00A46755" w:rsidRDefault="007A13A2" w:rsidP="00460762">
            <w:pPr>
              <w:spacing w:after="200" w:line="240" w:lineRule="auto"/>
            </w:pPr>
            <w:r w:rsidRPr="00A46755">
              <w:rPr>
                <w:rFonts w:eastAsia="Calibri" w:cs="Calibri"/>
                <w:sz w:val="18"/>
                <w:szCs w:val="18"/>
                <w:lang w:val="en-CA"/>
              </w:rPr>
              <w:t xml:space="preserve">Ribavirin, lopinavir/ritonavir and </w:t>
            </w:r>
            <w:proofErr w:type="spellStart"/>
            <w:r w:rsidRPr="00A46755">
              <w:rPr>
                <w:rFonts w:eastAsia="Calibri" w:cs="Calibri"/>
                <w:sz w:val="18"/>
                <w:szCs w:val="18"/>
                <w:lang w:val="en-CA"/>
              </w:rPr>
              <w:t>arbidol</w:t>
            </w:r>
            <w:proofErr w:type="spellEnd"/>
          </w:p>
        </w:tc>
        <w:tc>
          <w:tcPr>
            <w:tcW w:w="1350" w:type="dxa"/>
            <w:tcMar>
              <w:top w:w="100" w:type="dxa"/>
              <w:left w:w="100" w:type="dxa"/>
              <w:bottom w:w="100" w:type="dxa"/>
              <w:right w:w="100" w:type="dxa"/>
            </w:tcMar>
          </w:tcPr>
          <w:p w14:paraId="7FAD24DE" w14:textId="77777777" w:rsidR="007A13A2" w:rsidRPr="00A46755" w:rsidRDefault="007A13A2" w:rsidP="00460762">
            <w:pPr>
              <w:spacing w:after="200" w:line="240" w:lineRule="auto"/>
              <w:rPr>
                <w:rFonts w:eastAsia="Times New Roman"/>
                <w:sz w:val="18"/>
                <w:szCs w:val="18"/>
              </w:rPr>
            </w:pPr>
            <w:r w:rsidRPr="00A46755">
              <w:rPr>
                <w:rFonts w:eastAsia="Times New Roman"/>
                <w:sz w:val="18"/>
                <w:szCs w:val="18"/>
              </w:rPr>
              <w:t>Progressing to Severe Cases</w:t>
            </w:r>
          </w:p>
          <w:p w14:paraId="306C5E9F" w14:textId="77777777" w:rsidR="007A13A2" w:rsidRPr="00A46755" w:rsidRDefault="007A13A2" w:rsidP="00460762">
            <w:pPr>
              <w:spacing w:after="200" w:line="240" w:lineRule="auto"/>
              <w:rPr>
                <w:rFonts w:eastAsia="Times New Roman"/>
                <w:sz w:val="18"/>
                <w:szCs w:val="18"/>
              </w:rPr>
            </w:pPr>
            <w:r w:rsidRPr="00A46755">
              <w:rPr>
                <w:rFonts w:eastAsia="Times New Roman"/>
                <w:sz w:val="18"/>
                <w:szCs w:val="18"/>
              </w:rPr>
              <w:t>Secondary Infection</w:t>
            </w:r>
          </w:p>
          <w:p w14:paraId="4876CAE9" w14:textId="77777777" w:rsidR="007A13A2" w:rsidRPr="00A46755" w:rsidRDefault="007A13A2" w:rsidP="00460762">
            <w:pPr>
              <w:spacing w:after="200" w:line="240" w:lineRule="auto"/>
              <w:rPr>
                <w:rFonts w:eastAsia="Times New Roman"/>
                <w:sz w:val="18"/>
                <w:szCs w:val="18"/>
              </w:rPr>
            </w:pPr>
            <w:r w:rsidRPr="00A46755">
              <w:rPr>
                <w:rFonts w:eastAsia="Times New Roman"/>
                <w:sz w:val="18"/>
                <w:szCs w:val="18"/>
              </w:rPr>
              <w:t xml:space="preserve">Time for Fever </w:t>
            </w:r>
          </w:p>
          <w:p w14:paraId="10531B9F" w14:textId="77777777" w:rsidR="007A13A2" w:rsidRPr="00A46755" w:rsidRDefault="007A13A2" w:rsidP="00460762">
            <w:pPr>
              <w:spacing w:after="200" w:line="240" w:lineRule="auto"/>
              <w:rPr>
                <w:rFonts w:eastAsia="Times New Roman"/>
                <w:sz w:val="18"/>
                <w:szCs w:val="18"/>
              </w:rPr>
            </w:pPr>
            <w:r w:rsidRPr="00A46755">
              <w:rPr>
                <w:rFonts w:eastAsia="Times New Roman"/>
                <w:sz w:val="18"/>
                <w:szCs w:val="18"/>
              </w:rPr>
              <w:t xml:space="preserve">Hospital Stay </w:t>
            </w:r>
          </w:p>
          <w:p w14:paraId="5F576778" w14:textId="77777777" w:rsidR="007A13A2" w:rsidRPr="00A46755" w:rsidRDefault="007A13A2" w:rsidP="00460762">
            <w:pPr>
              <w:spacing w:after="200" w:line="240" w:lineRule="auto"/>
              <w:rPr>
                <w:rFonts w:eastAsia="Times New Roman"/>
                <w:sz w:val="18"/>
                <w:szCs w:val="18"/>
              </w:rPr>
            </w:pPr>
            <w:r w:rsidRPr="00A46755">
              <w:rPr>
                <w:rFonts w:eastAsia="Times New Roman"/>
                <w:sz w:val="18"/>
                <w:szCs w:val="18"/>
              </w:rPr>
              <w:t>Duration of Viral Shedding After Illness Onset</w:t>
            </w:r>
          </w:p>
        </w:tc>
        <w:tc>
          <w:tcPr>
            <w:tcW w:w="1192" w:type="dxa"/>
            <w:tcMar>
              <w:top w:w="100" w:type="dxa"/>
              <w:left w:w="100" w:type="dxa"/>
              <w:bottom w:w="100" w:type="dxa"/>
              <w:right w:w="100" w:type="dxa"/>
            </w:tcMar>
          </w:tcPr>
          <w:p w14:paraId="37295617" w14:textId="77777777" w:rsidR="007A13A2" w:rsidRPr="00A46755" w:rsidRDefault="007A13A2" w:rsidP="00460762">
            <w:pPr>
              <w:spacing w:after="200" w:line="240" w:lineRule="auto"/>
              <w:rPr>
                <w:rFonts w:eastAsia="Times New Roman"/>
                <w:sz w:val="18"/>
                <w:szCs w:val="18"/>
              </w:rPr>
            </w:pPr>
            <w:r w:rsidRPr="00A46755">
              <w:rPr>
                <w:rFonts w:eastAsia="Times New Roman"/>
                <w:sz w:val="18"/>
                <w:szCs w:val="18"/>
              </w:rPr>
              <w:t>N/A</w:t>
            </w:r>
          </w:p>
        </w:tc>
      </w:tr>
    </w:tbl>
    <w:p w14:paraId="5518A16D" w14:textId="77777777" w:rsidR="007A13A2" w:rsidRPr="00A46755" w:rsidRDefault="007A13A2" w:rsidP="007A13A2">
      <w:pPr>
        <w:spacing w:line="240" w:lineRule="auto"/>
        <w:ind w:left="-576"/>
        <w:rPr>
          <w:sz w:val="20"/>
          <w:szCs w:val="20"/>
        </w:rPr>
      </w:pPr>
      <w:r w:rsidRPr="00A46755">
        <w:rPr>
          <w:b/>
          <w:bCs/>
          <w:sz w:val="20"/>
          <w:szCs w:val="20"/>
        </w:rPr>
        <w:t>CRP</w:t>
      </w:r>
      <w:r w:rsidRPr="00A46755">
        <w:rPr>
          <w:sz w:val="20"/>
          <w:szCs w:val="20"/>
        </w:rPr>
        <w:t xml:space="preserve">: C-reactive protein; NHS: National Health Service; </w:t>
      </w:r>
      <w:r w:rsidRPr="00A46755">
        <w:rPr>
          <w:b/>
          <w:bCs/>
          <w:sz w:val="20"/>
          <w:szCs w:val="20"/>
        </w:rPr>
        <w:t>AZ</w:t>
      </w:r>
      <w:r w:rsidRPr="00A46755">
        <w:rPr>
          <w:sz w:val="20"/>
          <w:szCs w:val="20"/>
        </w:rPr>
        <w:t xml:space="preserve">: azithromycin; </w:t>
      </w:r>
      <w:r w:rsidRPr="00A46755">
        <w:rPr>
          <w:b/>
          <w:bCs/>
          <w:sz w:val="20"/>
          <w:szCs w:val="20"/>
        </w:rPr>
        <w:t>HCQ</w:t>
      </w:r>
      <w:r w:rsidRPr="00A46755">
        <w:rPr>
          <w:sz w:val="20"/>
          <w:szCs w:val="20"/>
        </w:rPr>
        <w:t xml:space="preserve">: hydroxychloroquine; </w:t>
      </w:r>
      <w:r w:rsidRPr="00A46755">
        <w:rPr>
          <w:b/>
          <w:bCs/>
          <w:sz w:val="20"/>
          <w:szCs w:val="20"/>
        </w:rPr>
        <w:t>RT-PCR</w:t>
      </w:r>
      <w:r w:rsidRPr="00A46755">
        <w:rPr>
          <w:sz w:val="20"/>
          <w:szCs w:val="20"/>
        </w:rPr>
        <w:t xml:space="preserve">: reverse transcription polymerase chain reaction; </w:t>
      </w:r>
      <w:r w:rsidRPr="00A46755">
        <w:rPr>
          <w:b/>
          <w:bCs/>
          <w:sz w:val="20"/>
          <w:szCs w:val="20"/>
        </w:rPr>
        <w:t>SpO</w:t>
      </w:r>
      <w:r w:rsidRPr="00A46755">
        <w:rPr>
          <w:b/>
          <w:bCs/>
          <w:sz w:val="20"/>
          <w:szCs w:val="20"/>
          <w:vertAlign w:val="subscript"/>
        </w:rPr>
        <w:t>2</w:t>
      </w:r>
      <w:r w:rsidRPr="00A46755">
        <w:rPr>
          <w:sz w:val="20"/>
          <w:szCs w:val="20"/>
        </w:rPr>
        <w:t xml:space="preserve">: oxygen saturation; </w:t>
      </w:r>
      <w:r w:rsidRPr="00A46755">
        <w:rPr>
          <w:b/>
          <w:bCs/>
          <w:sz w:val="20"/>
          <w:szCs w:val="20"/>
        </w:rPr>
        <w:t>TCZ</w:t>
      </w:r>
      <w:r w:rsidRPr="00A46755">
        <w:rPr>
          <w:sz w:val="20"/>
          <w:szCs w:val="20"/>
        </w:rPr>
        <w:t xml:space="preserve">: tocilizumab; </w:t>
      </w:r>
      <w:r w:rsidRPr="00A46755">
        <w:rPr>
          <w:b/>
          <w:bCs/>
          <w:sz w:val="20"/>
          <w:szCs w:val="20"/>
        </w:rPr>
        <w:t>HFNC</w:t>
      </w:r>
      <w:r w:rsidRPr="00A46755">
        <w:rPr>
          <w:sz w:val="20"/>
          <w:szCs w:val="20"/>
        </w:rPr>
        <w:t xml:space="preserve">: high-flow nasal cannula; </w:t>
      </w:r>
      <w:r w:rsidRPr="00A46755">
        <w:rPr>
          <w:b/>
          <w:bCs/>
          <w:sz w:val="20"/>
          <w:szCs w:val="20"/>
        </w:rPr>
        <w:t>ICU</w:t>
      </w:r>
      <w:r w:rsidRPr="00A46755">
        <w:rPr>
          <w:sz w:val="20"/>
          <w:szCs w:val="20"/>
        </w:rPr>
        <w:t xml:space="preserve">: intensive care unit; </w:t>
      </w:r>
      <w:r w:rsidRPr="00A46755">
        <w:rPr>
          <w:b/>
          <w:bCs/>
          <w:sz w:val="20"/>
          <w:szCs w:val="20"/>
        </w:rPr>
        <w:t>SoC</w:t>
      </w:r>
      <w:r w:rsidRPr="00A46755">
        <w:rPr>
          <w:sz w:val="20"/>
          <w:szCs w:val="20"/>
        </w:rPr>
        <w:t xml:space="preserve">: standard of care; </w:t>
      </w:r>
      <w:r w:rsidRPr="00A46755">
        <w:rPr>
          <w:b/>
          <w:bCs/>
          <w:sz w:val="20"/>
          <w:szCs w:val="20"/>
        </w:rPr>
        <w:t>WHO</w:t>
      </w:r>
      <w:r w:rsidRPr="00A46755">
        <w:rPr>
          <w:sz w:val="20"/>
          <w:szCs w:val="20"/>
        </w:rPr>
        <w:t xml:space="preserve">: World Health Organization; </w:t>
      </w:r>
      <w:r w:rsidRPr="00A46755">
        <w:rPr>
          <w:b/>
          <w:bCs/>
          <w:sz w:val="20"/>
          <w:szCs w:val="20"/>
        </w:rPr>
        <w:t>ARDS</w:t>
      </w:r>
      <w:r w:rsidRPr="00A46755">
        <w:rPr>
          <w:sz w:val="20"/>
          <w:szCs w:val="20"/>
        </w:rPr>
        <w:t xml:space="preserve">: acute respiratory distress syndrome; </w:t>
      </w:r>
      <w:r w:rsidRPr="00A46755">
        <w:rPr>
          <w:b/>
          <w:bCs/>
          <w:sz w:val="20"/>
          <w:szCs w:val="20"/>
        </w:rPr>
        <w:t>NCP</w:t>
      </w:r>
      <w:r w:rsidRPr="00A46755">
        <w:rPr>
          <w:sz w:val="20"/>
          <w:szCs w:val="20"/>
        </w:rPr>
        <w:t>: novel coronavirus pneumonia</w:t>
      </w:r>
    </w:p>
    <w:p w14:paraId="2CF5C05E" w14:textId="77777777" w:rsidR="007A13A2" w:rsidRPr="00A46755" w:rsidRDefault="007A13A2" w:rsidP="007A13A2">
      <w:pPr>
        <w:pStyle w:val="Heading2"/>
        <w:spacing w:before="240" w:line="240" w:lineRule="auto"/>
        <w:rPr>
          <w:sz w:val="24"/>
          <w:szCs w:val="24"/>
        </w:rPr>
      </w:pPr>
      <w:bookmarkStart w:id="2" w:name="_Toc126836846"/>
      <w:r w:rsidRPr="00A46755">
        <w:rPr>
          <w:b/>
          <w:bCs/>
          <w:sz w:val="24"/>
          <w:szCs w:val="24"/>
        </w:rPr>
        <w:lastRenderedPageBreak/>
        <w:t>Table s</w:t>
      </w:r>
      <w:r>
        <w:rPr>
          <w:b/>
          <w:bCs/>
          <w:sz w:val="24"/>
          <w:szCs w:val="24"/>
        </w:rPr>
        <w:t>2</w:t>
      </w:r>
      <w:r w:rsidRPr="00A46755">
        <w:rPr>
          <w:b/>
          <w:bCs/>
          <w:sz w:val="24"/>
          <w:szCs w:val="24"/>
        </w:rPr>
        <w:t>.</w:t>
      </w:r>
      <w:r w:rsidRPr="00A46755">
        <w:rPr>
          <w:sz w:val="24"/>
          <w:szCs w:val="24"/>
        </w:rPr>
        <w:t xml:space="preserve">  Risk of bias for randomized controlled studies (glucocorticoids vs. no glucocorticoids)</w:t>
      </w:r>
      <w:bookmarkEnd w:id="2"/>
    </w:p>
    <w:tbl>
      <w:tblPr>
        <w:tblW w:w="13308" w:type="dxa"/>
        <w:tblCellMar>
          <w:top w:w="15" w:type="dxa"/>
          <w:left w:w="15" w:type="dxa"/>
          <w:bottom w:w="15" w:type="dxa"/>
          <w:right w:w="15" w:type="dxa"/>
        </w:tblCellMar>
        <w:tblLook w:val="04A0" w:firstRow="1" w:lastRow="0" w:firstColumn="1" w:lastColumn="0" w:noHBand="0" w:noVBand="1"/>
      </w:tblPr>
      <w:tblGrid>
        <w:gridCol w:w="2318"/>
        <w:gridCol w:w="1570"/>
        <w:gridCol w:w="1570"/>
        <w:gridCol w:w="1570"/>
        <w:gridCol w:w="1570"/>
        <w:gridCol w:w="1570"/>
        <w:gridCol w:w="1570"/>
        <w:gridCol w:w="1570"/>
      </w:tblGrid>
      <w:tr w:rsidR="007A13A2" w:rsidRPr="00A46755" w14:paraId="39C45841" w14:textId="77777777" w:rsidTr="00460762">
        <w:tc>
          <w:tcPr>
            <w:tcW w:w="23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14:paraId="6AE1B3F5" w14:textId="77777777" w:rsidR="007A13A2" w:rsidRPr="00A46755" w:rsidRDefault="007A13A2" w:rsidP="00460762">
            <w:pPr>
              <w:pStyle w:val="NormalWeb"/>
              <w:spacing w:before="40" w:beforeAutospacing="0" w:after="120" w:afterAutospacing="0"/>
            </w:pPr>
            <w:r w:rsidRPr="00A46755">
              <w:rPr>
                <w:rFonts w:ascii="Calibri" w:hAnsi="Calibri" w:cs="Calibri"/>
                <w:b/>
                <w:bCs/>
                <w:color w:val="000000"/>
                <w:sz w:val="20"/>
                <w:szCs w:val="20"/>
              </w:rPr>
              <w:t>Study</w:t>
            </w:r>
          </w:p>
        </w:tc>
        <w:tc>
          <w:tcPr>
            <w:tcW w:w="15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14:paraId="6FC1A7BA" w14:textId="77777777" w:rsidR="007A13A2" w:rsidRPr="00A46755" w:rsidRDefault="007A13A2" w:rsidP="00460762">
            <w:pPr>
              <w:pStyle w:val="NormalWeb"/>
              <w:spacing w:before="40" w:beforeAutospacing="0" w:after="120" w:afterAutospacing="0"/>
            </w:pPr>
            <w:r w:rsidRPr="00A46755">
              <w:rPr>
                <w:rFonts w:ascii="Calibri" w:hAnsi="Calibri" w:cs="Calibri"/>
                <w:b/>
                <w:bCs/>
                <w:color w:val="000000"/>
                <w:sz w:val="20"/>
                <w:szCs w:val="20"/>
              </w:rPr>
              <w:t>Random sequence generation </w:t>
            </w:r>
          </w:p>
        </w:tc>
        <w:tc>
          <w:tcPr>
            <w:tcW w:w="15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14:paraId="734C6FCC" w14:textId="77777777" w:rsidR="007A13A2" w:rsidRPr="00A46755" w:rsidRDefault="007A13A2" w:rsidP="00460762">
            <w:pPr>
              <w:pStyle w:val="NormalWeb"/>
              <w:spacing w:before="40" w:beforeAutospacing="0" w:after="120" w:afterAutospacing="0"/>
            </w:pPr>
            <w:r w:rsidRPr="00A46755">
              <w:rPr>
                <w:rFonts w:ascii="Calibri" w:hAnsi="Calibri" w:cs="Calibri"/>
                <w:b/>
                <w:bCs/>
                <w:color w:val="000000"/>
                <w:sz w:val="20"/>
                <w:szCs w:val="20"/>
              </w:rPr>
              <w:t>Allocation concealment </w:t>
            </w:r>
          </w:p>
        </w:tc>
        <w:tc>
          <w:tcPr>
            <w:tcW w:w="15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14:paraId="5669CE3C" w14:textId="77777777" w:rsidR="007A13A2" w:rsidRPr="00A46755" w:rsidRDefault="007A13A2" w:rsidP="00460762">
            <w:pPr>
              <w:pStyle w:val="NormalWeb"/>
              <w:spacing w:before="40" w:beforeAutospacing="0" w:after="120" w:afterAutospacing="0"/>
            </w:pPr>
            <w:r w:rsidRPr="00A46755">
              <w:rPr>
                <w:rFonts w:ascii="Calibri" w:hAnsi="Calibri" w:cs="Calibri"/>
                <w:b/>
                <w:bCs/>
                <w:color w:val="000000"/>
                <w:sz w:val="20"/>
                <w:szCs w:val="20"/>
              </w:rPr>
              <w:t>Blinding of participants and personnel </w:t>
            </w:r>
          </w:p>
        </w:tc>
        <w:tc>
          <w:tcPr>
            <w:tcW w:w="15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14:paraId="3419A7A5" w14:textId="77777777" w:rsidR="007A13A2" w:rsidRPr="00A46755" w:rsidRDefault="007A13A2" w:rsidP="00460762">
            <w:pPr>
              <w:pStyle w:val="NormalWeb"/>
              <w:spacing w:before="40" w:beforeAutospacing="0" w:after="120" w:afterAutospacing="0"/>
            </w:pPr>
            <w:r w:rsidRPr="00A46755">
              <w:rPr>
                <w:rFonts w:ascii="Calibri" w:hAnsi="Calibri" w:cs="Calibri"/>
                <w:b/>
                <w:bCs/>
                <w:color w:val="000000"/>
                <w:sz w:val="20"/>
                <w:szCs w:val="20"/>
              </w:rPr>
              <w:t>Blinding of outcome assessment </w:t>
            </w:r>
          </w:p>
        </w:tc>
        <w:tc>
          <w:tcPr>
            <w:tcW w:w="15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14:paraId="5741223B" w14:textId="77777777" w:rsidR="007A13A2" w:rsidRPr="00A46755" w:rsidRDefault="007A13A2" w:rsidP="00460762">
            <w:pPr>
              <w:pStyle w:val="NormalWeb"/>
              <w:spacing w:before="40" w:beforeAutospacing="0" w:after="120" w:afterAutospacing="0"/>
            </w:pPr>
            <w:r w:rsidRPr="00A46755">
              <w:rPr>
                <w:rFonts w:ascii="Calibri" w:hAnsi="Calibri" w:cs="Calibri"/>
                <w:b/>
                <w:bCs/>
                <w:color w:val="000000"/>
                <w:sz w:val="20"/>
                <w:szCs w:val="20"/>
              </w:rPr>
              <w:t>Incomplete outcome data </w:t>
            </w:r>
          </w:p>
        </w:tc>
        <w:tc>
          <w:tcPr>
            <w:tcW w:w="15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14:paraId="78CB2199" w14:textId="77777777" w:rsidR="007A13A2" w:rsidRPr="00A46755" w:rsidRDefault="007A13A2" w:rsidP="00460762">
            <w:pPr>
              <w:pStyle w:val="NormalWeb"/>
              <w:spacing w:before="40" w:beforeAutospacing="0" w:after="120" w:afterAutospacing="0"/>
            </w:pPr>
            <w:r w:rsidRPr="00A46755">
              <w:rPr>
                <w:rFonts w:ascii="Calibri" w:hAnsi="Calibri" w:cs="Calibri"/>
                <w:b/>
                <w:bCs/>
                <w:color w:val="000000"/>
                <w:sz w:val="20"/>
                <w:szCs w:val="20"/>
              </w:rPr>
              <w:t>Selective reporting </w:t>
            </w:r>
          </w:p>
        </w:tc>
        <w:tc>
          <w:tcPr>
            <w:tcW w:w="15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14:paraId="23D4E791" w14:textId="77777777" w:rsidR="007A13A2" w:rsidRPr="00A46755" w:rsidRDefault="007A13A2" w:rsidP="00460762">
            <w:pPr>
              <w:pStyle w:val="NormalWeb"/>
              <w:spacing w:before="40" w:beforeAutospacing="0" w:after="120" w:afterAutospacing="0"/>
            </w:pPr>
            <w:r w:rsidRPr="00A46755">
              <w:rPr>
                <w:rFonts w:ascii="Calibri" w:hAnsi="Calibri" w:cs="Calibri"/>
                <w:b/>
                <w:bCs/>
                <w:color w:val="000000"/>
                <w:sz w:val="20"/>
                <w:szCs w:val="20"/>
              </w:rPr>
              <w:t>Other bias </w:t>
            </w:r>
          </w:p>
        </w:tc>
      </w:tr>
      <w:tr w:rsidR="007A13A2" w:rsidRPr="00A46755" w14:paraId="2A8C6F17" w14:textId="77777777" w:rsidTr="00460762">
        <w:tc>
          <w:tcPr>
            <w:tcW w:w="2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7A8064" w14:textId="77777777" w:rsidR="007A13A2" w:rsidRPr="00A46755" w:rsidRDefault="007A13A2" w:rsidP="00460762">
            <w:pPr>
              <w:spacing w:before="40" w:line="240" w:lineRule="auto"/>
              <w:rPr>
                <w:sz w:val="20"/>
                <w:szCs w:val="20"/>
                <w:vertAlign w:val="superscript"/>
              </w:rPr>
            </w:pPr>
            <w:proofErr w:type="spellStart"/>
            <w:r w:rsidRPr="00A46755">
              <w:rPr>
                <w:sz w:val="20"/>
                <w:szCs w:val="20"/>
              </w:rPr>
              <w:t>Horby</w:t>
            </w:r>
            <w:proofErr w:type="spellEnd"/>
            <w:r w:rsidRPr="00A46755">
              <w:rPr>
                <w:sz w:val="20"/>
                <w:szCs w:val="20"/>
              </w:rPr>
              <w:t xml:space="preserve"> 2020 </w:t>
            </w:r>
            <w:r w:rsidRPr="00A46755">
              <w:rPr>
                <w:sz w:val="20"/>
                <w:szCs w:val="20"/>
                <w:vertAlign w:val="superscript"/>
              </w:rPr>
              <w:t>4</w:t>
            </w:r>
          </w:p>
        </w:tc>
        <w:tc>
          <w:tcPr>
            <w:tcW w:w="1570" w:type="dxa"/>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vAlign w:val="center"/>
          </w:tcPr>
          <w:p w14:paraId="429C60CF" w14:textId="77777777" w:rsidR="007A13A2" w:rsidRPr="00A46755" w:rsidRDefault="007A13A2" w:rsidP="00460762">
            <w:pPr>
              <w:spacing w:before="40" w:line="240" w:lineRule="auto"/>
            </w:pPr>
          </w:p>
        </w:tc>
        <w:tc>
          <w:tcPr>
            <w:tcW w:w="1570" w:type="dxa"/>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vAlign w:val="center"/>
          </w:tcPr>
          <w:p w14:paraId="043AAEEF" w14:textId="77777777" w:rsidR="007A13A2" w:rsidRPr="00A46755" w:rsidRDefault="007A13A2" w:rsidP="00460762">
            <w:pPr>
              <w:spacing w:before="40" w:line="240" w:lineRule="auto"/>
            </w:pPr>
          </w:p>
        </w:tc>
        <w:tc>
          <w:tcPr>
            <w:tcW w:w="1570" w:type="dxa"/>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vAlign w:val="center"/>
          </w:tcPr>
          <w:p w14:paraId="5A55B01C" w14:textId="77777777" w:rsidR="007A13A2" w:rsidRPr="00A46755" w:rsidRDefault="007A13A2" w:rsidP="00460762">
            <w:pPr>
              <w:spacing w:before="40" w:line="240" w:lineRule="auto"/>
            </w:pPr>
          </w:p>
        </w:tc>
        <w:tc>
          <w:tcPr>
            <w:tcW w:w="1570" w:type="dxa"/>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vAlign w:val="center"/>
          </w:tcPr>
          <w:p w14:paraId="2451FF3C" w14:textId="77777777" w:rsidR="007A13A2" w:rsidRPr="00A46755" w:rsidRDefault="007A13A2" w:rsidP="00460762">
            <w:pPr>
              <w:spacing w:before="40" w:line="240" w:lineRule="auto"/>
            </w:pPr>
          </w:p>
        </w:tc>
        <w:tc>
          <w:tcPr>
            <w:tcW w:w="1570" w:type="dxa"/>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vAlign w:val="center"/>
          </w:tcPr>
          <w:p w14:paraId="78B96B33" w14:textId="77777777" w:rsidR="007A13A2" w:rsidRPr="00A46755" w:rsidRDefault="007A13A2" w:rsidP="00460762">
            <w:pPr>
              <w:spacing w:before="40" w:line="240" w:lineRule="auto"/>
            </w:pPr>
          </w:p>
        </w:tc>
        <w:tc>
          <w:tcPr>
            <w:tcW w:w="1570" w:type="dxa"/>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vAlign w:val="center"/>
          </w:tcPr>
          <w:p w14:paraId="7C526B86" w14:textId="77777777" w:rsidR="007A13A2" w:rsidRPr="00A46755" w:rsidRDefault="007A13A2" w:rsidP="00460762">
            <w:pPr>
              <w:spacing w:before="40" w:line="240" w:lineRule="auto"/>
            </w:pPr>
          </w:p>
        </w:tc>
        <w:tc>
          <w:tcPr>
            <w:tcW w:w="1570" w:type="dxa"/>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vAlign w:val="center"/>
          </w:tcPr>
          <w:p w14:paraId="00F3F862" w14:textId="77777777" w:rsidR="007A13A2" w:rsidRPr="00A46755" w:rsidRDefault="007A13A2" w:rsidP="00460762">
            <w:pPr>
              <w:spacing w:before="40" w:line="240" w:lineRule="auto"/>
            </w:pPr>
          </w:p>
        </w:tc>
      </w:tr>
    </w:tbl>
    <w:p w14:paraId="688E94A1" w14:textId="77777777" w:rsidR="007A13A2" w:rsidRPr="00A46755" w:rsidRDefault="007A13A2" w:rsidP="007A13A2">
      <w:pPr>
        <w:spacing w:line="240" w:lineRule="auto"/>
        <w:rPr>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1152"/>
        <w:gridCol w:w="1152"/>
        <w:gridCol w:w="1152"/>
      </w:tblGrid>
      <w:tr w:rsidR="007A13A2" w:rsidRPr="00A46755" w14:paraId="58E0118F" w14:textId="77777777" w:rsidTr="00460762">
        <w:trPr>
          <w:trHeight w:val="317"/>
        </w:trPr>
        <w:tc>
          <w:tcPr>
            <w:tcW w:w="1152" w:type="dxa"/>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hideMark/>
          </w:tcPr>
          <w:p w14:paraId="40E8D093" w14:textId="77777777" w:rsidR="007A13A2" w:rsidRPr="00A46755" w:rsidRDefault="007A13A2" w:rsidP="00460762">
            <w:pPr>
              <w:pStyle w:val="NormalWeb"/>
              <w:spacing w:before="0" w:beforeAutospacing="0" w:after="0" w:afterAutospacing="0"/>
            </w:pPr>
            <w:r w:rsidRPr="00A46755">
              <w:rPr>
                <w:rFonts w:ascii="Calibri" w:hAnsi="Calibri" w:cs="Calibri"/>
                <w:b/>
                <w:bCs/>
                <w:color w:val="000000"/>
                <w:sz w:val="20"/>
                <w:szCs w:val="20"/>
              </w:rPr>
              <w:t>Low</w:t>
            </w:r>
          </w:p>
        </w:tc>
        <w:tc>
          <w:tcPr>
            <w:tcW w:w="1152" w:type="dxa"/>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hideMark/>
          </w:tcPr>
          <w:p w14:paraId="3E965EBC" w14:textId="77777777" w:rsidR="007A13A2" w:rsidRPr="00A46755" w:rsidRDefault="007A13A2" w:rsidP="00460762">
            <w:pPr>
              <w:pStyle w:val="NormalWeb"/>
              <w:spacing w:before="0" w:beforeAutospacing="0" w:after="0" w:afterAutospacing="0"/>
            </w:pPr>
            <w:r w:rsidRPr="00A46755">
              <w:rPr>
                <w:rFonts w:ascii="Calibri" w:hAnsi="Calibri" w:cs="Calibri"/>
                <w:b/>
                <w:bCs/>
                <w:color w:val="000000"/>
                <w:sz w:val="20"/>
                <w:szCs w:val="20"/>
              </w:rPr>
              <w:t>High</w:t>
            </w:r>
          </w:p>
        </w:tc>
        <w:tc>
          <w:tcPr>
            <w:tcW w:w="1152"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hideMark/>
          </w:tcPr>
          <w:p w14:paraId="29BD2924" w14:textId="77777777" w:rsidR="007A13A2" w:rsidRPr="00A46755" w:rsidRDefault="007A13A2" w:rsidP="00460762">
            <w:pPr>
              <w:pStyle w:val="NormalWeb"/>
              <w:spacing w:before="0" w:beforeAutospacing="0" w:after="0" w:afterAutospacing="0"/>
            </w:pPr>
            <w:r w:rsidRPr="00A46755">
              <w:rPr>
                <w:rFonts w:ascii="Calibri" w:hAnsi="Calibri" w:cs="Calibri"/>
                <w:b/>
                <w:bCs/>
                <w:color w:val="000000"/>
                <w:sz w:val="20"/>
                <w:szCs w:val="20"/>
              </w:rPr>
              <w:t>Unclear</w:t>
            </w:r>
          </w:p>
        </w:tc>
      </w:tr>
    </w:tbl>
    <w:p w14:paraId="270E7FBB" w14:textId="77777777" w:rsidR="007A13A2" w:rsidRPr="00A46755" w:rsidRDefault="007A13A2" w:rsidP="007A13A2">
      <w:pPr>
        <w:spacing w:line="240" w:lineRule="auto"/>
        <w:rPr>
          <w:b/>
          <w:bCs/>
          <w:sz w:val="32"/>
          <w:szCs w:val="32"/>
          <w:lang w:val="en-CA"/>
        </w:rPr>
        <w:sectPr w:rsidR="007A13A2" w:rsidRPr="00A46755" w:rsidSect="00DE5C13">
          <w:pgSz w:w="15840" w:h="12240" w:orient="landscape"/>
          <w:pgMar w:top="1440" w:right="1440" w:bottom="1440" w:left="1440" w:header="288" w:footer="720" w:gutter="0"/>
          <w:cols w:space="720"/>
          <w:docGrid w:linePitch="360"/>
        </w:sectPr>
      </w:pPr>
    </w:p>
    <w:p w14:paraId="7246E82C" w14:textId="77777777" w:rsidR="007A13A2" w:rsidRPr="00A46755" w:rsidRDefault="007A13A2" w:rsidP="007A13A2">
      <w:pPr>
        <w:pStyle w:val="Heading2"/>
        <w:spacing w:before="0" w:line="240" w:lineRule="auto"/>
        <w:rPr>
          <w:b/>
          <w:sz w:val="24"/>
          <w:szCs w:val="24"/>
        </w:rPr>
      </w:pPr>
      <w:bookmarkStart w:id="3" w:name="_Toc126836847"/>
      <w:r w:rsidRPr="00A46755">
        <w:rPr>
          <w:b/>
          <w:sz w:val="24"/>
          <w:szCs w:val="24"/>
        </w:rPr>
        <w:lastRenderedPageBreak/>
        <w:t>References</w:t>
      </w:r>
      <w:bookmarkEnd w:id="3"/>
    </w:p>
    <w:p w14:paraId="2545C584" w14:textId="77777777" w:rsidR="007A13A2" w:rsidRPr="00A46755" w:rsidRDefault="007A13A2" w:rsidP="007A13A2">
      <w:pPr>
        <w:pStyle w:val="ListParagraph"/>
        <w:numPr>
          <w:ilvl w:val="0"/>
          <w:numId w:val="1"/>
        </w:numPr>
        <w:spacing w:after="80" w:line="240" w:lineRule="auto"/>
        <w:ind w:left="432" w:hanging="432"/>
        <w:contextualSpacing w:val="0"/>
      </w:pPr>
      <w:r w:rsidRPr="00A46755">
        <w:t>Corral-</w:t>
      </w:r>
      <w:proofErr w:type="spellStart"/>
      <w:r w:rsidRPr="00A46755">
        <w:t>Gudino</w:t>
      </w:r>
      <w:proofErr w:type="spellEnd"/>
      <w:r w:rsidRPr="00A46755">
        <w:t xml:space="preserve"> L, </w:t>
      </w:r>
      <w:proofErr w:type="spellStart"/>
      <w:r w:rsidRPr="00A46755">
        <w:t>Bahamonde</w:t>
      </w:r>
      <w:proofErr w:type="spellEnd"/>
      <w:r w:rsidRPr="00A46755">
        <w:t xml:space="preserve"> A, Arnaiz delas </w:t>
      </w:r>
      <w:proofErr w:type="spellStart"/>
      <w:r w:rsidRPr="00A46755">
        <w:t>Revillas</w:t>
      </w:r>
      <w:proofErr w:type="spellEnd"/>
      <w:r w:rsidRPr="00A46755">
        <w:t xml:space="preserve"> F, et al. GLUCOCOVID: A controlled trial of methylprednisolone in adults hospitalized with COVID-19 pneumonia. </w:t>
      </w:r>
      <w:proofErr w:type="spellStart"/>
      <w:r w:rsidRPr="00A46755">
        <w:t>medRxiv</w:t>
      </w:r>
      <w:proofErr w:type="spellEnd"/>
      <w:r w:rsidRPr="00A46755">
        <w:t xml:space="preserve"> </w:t>
      </w:r>
      <w:r w:rsidRPr="00A46755">
        <w:rPr>
          <w:b/>
          <w:bCs/>
        </w:rPr>
        <w:t>2020</w:t>
      </w:r>
      <w:r w:rsidRPr="00A46755">
        <w:t xml:space="preserve">: Available at: </w:t>
      </w:r>
      <w:hyperlink r:id="rId5" w:history="1">
        <w:r w:rsidRPr="00A46755">
          <w:rPr>
            <w:rStyle w:val="Hyperlink"/>
          </w:rPr>
          <w:t>https://doi.org/10.1101/2020.06.17.20133579</w:t>
        </w:r>
      </w:hyperlink>
      <w:r w:rsidRPr="00A46755">
        <w:t xml:space="preserve"> [Preprint 18 June 2020].</w:t>
      </w:r>
    </w:p>
    <w:p w14:paraId="00B7113A" w14:textId="77777777" w:rsidR="007A13A2" w:rsidRPr="00A46755" w:rsidRDefault="007A13A2" w:rsidP="007A13A2">
      <w:pPr>
        <w:pStyle w:val="ListParagraph"/>
        <w:numPr>
          <w:ilvl w:val="0"/>
          <w:numId w:val="1"/>
        </w:numPr>
        <w:spacing w:after="80" w:line="240" w:lineRule="auto"/>
        <w:ind w:left="432" w:hanging="432"/>
        <w:contextualSpacing w:val="0"/>
      </w:pPr>
      <w:r w:rsidRPr="00A46755">
        <w:t xml:space="preserve">Fadel R, Morrison AR, </w:t>
      </w:r>
      <w:proofErr w:type="spellStart"/>
      <w:r w:rsidRPr="00A46755">
        <w:t>Vahia</w:t>
      </w:r>
      <w:proofErr w:type="spellEnd"/>
      <w:r w:rsidRPr="00A46755">
        <w:t xml:space="preserve"> A, et al. Early Short Course Corticosteroids in Hospitalized Patients with COVID-19. Clin Infect Dis </w:t>
      </w:r>
      <w:r w:rsidRPr="00A46755">
        <w:rPr>
          <w:b/>
          <w:bCs/>
        </w:rPr>
        <w:t>2020</w:t>
      </w:r>
      <w:r w:rsidRPr="00A46755">
        <w:t>; 71(16): 2114-20.</w:t>
      </w:r>
    </w:p>
    <w:p w14:paraId="0A1CA15C" w14:textId="77777777" w:rsidR="007A13A2" w:rsidRPr="00A46755" w:rsidRDefault="007A13A2" w:rsidP="007A13A2">
      <w:pPr>
        <w:pStyle w:val="ListParagraph"/>
        <w:numPr>
          <w:ilvl w:val="0"/>
          <w:numId w:val="1"/>
        </w:numPr>
        <w:spacing w:after="80" w:line="240" w:lineRule="auto"/>
        <w:ind w:left="432" w:hanging="432"/>
        <w:contextualSpacing w:val="0"/>
      </w:pPr>
      <w:r w:rsidRPr="00A46755">
        <w:t>Fernandez-Cruz A, Ruiz-</w:t>
      </w:r>
      <w:proofErr w:type="spellStart"/>
      <w:r w:rsidRPr="00A46755">
        <w:t>Antoran</w:t>
      </w:r>
      <w:proofErr w:type="spellEnd"/>
      <w:r w:rsidRPr="00A46755">
        <w:t xml:space="preserve"> B, Munoz-Gomez A, et al. Impact of Glucocorticoid Treatment in SARS-CoV-2 Infection Mortality: A retrospective controlled cohort study. </w:t>
      </w:r>
      <w:r w:rsidRPr="00A46755">
        <w:rPr>
          <w:b/>
          <w:bCs/>
        </w:rPr>
        <w:t>2020</w:t>
      </w:r>
      <w:r w:rsidRPr="00A46755">
        <w:t xml:space="preserve">: Available at: </w:t>
      </w:r>
      <w:hyperlink r:id="rId6" w:history="1">
        <w:r w:rsidRPr="00A46755">
          <w:rPr>
            <w:rStyle w:val="Hyperlink"/>
          </w:rPr>
          <w:t>https://doi.org/10.1101/2020.05.22.20110544</w:t>
        </w:r>
      </w:hyperlink>
      <w:r w:rsidRPr="00A46755">
        <w:t xml:space="preserve"> [Preprint 26 May 2020].</w:t>
      </w:r>
    </w:p>
    <w:p w14:paraId="0766FE40" w14:textId="77777777" w:rsidR="007A13A2" w:rsidRPr="00A46755" w:rsidRDefault="007A13A2" w:rsidP="007A13A2">
      <w:pPr>
        <w:pStyle w:val="ListParagraph"/>
        <w:numPr>
          <w:ilvl w:val="0"/>
          <w:numId w:val="1"/>
        </w:numPr>
        <w:spacing w:after="80" w:line="240" w:lineRule="auto"/>
        <w:ind w:left="432" w:hanging="432"/>
        <w:contextualSpacing w:val="0"/>
      </w:pPr>
      <w:proofErr w:type="spellStart"/>
      <w:r w:rsidRPr="00A46755">
        <w:t>Horby</w:t>
      </w:r>
      <w:proofErr w:type="spellEnd"/>
      <w:r w:rsidRPr="00A46755">
        <w:t xml:space="preserve"> P, Lim WS, </w:t>
      </w:r>
      <w:proofErr w:type="spellStart"/>
      <w:r w:rsidRPr="00A46755">
        <w:t>Emberson</w:t>
      </w:r>
      <w:proofErr w:type="spellEnd"/>
      <w:r w:rsidRPr="00A46755">
        <w:t xml:space="preserve"> J, et al. Effect of Dexamethasone in Hospitalized Patients with COVID-19 – Preliminary Report. </w:t>
      </w:r>
      <w:proofErr w:type="spellStart"/>
      <w:r w:rsidRPr="00A46755">
        <w:t>medRxiv</w:t>
      </w:r>
      <w:proofErr w:type="spellEnd"/>
      <w:r w:rsidRPr="00A46755">
        <w:t xml:space="preserve"> </w:t>
      </w:r>
      <w:r w:rsidRPr="00A46755">
        <w:rPr>
          <w:b/>
          <w:bCs/>
        </w:rPr>
        <w:t>2020</w:t>
      </w:r>
      <w:r w:rsidRPr="00A46755">
        <w:t xml:space="preserve">: Available at: </w:t>
      </w:r>
      <w:hyperlink r:id="rId7" w:history="1">
        <w:r w:rsidRPr="00A46755">
          <w:rPr>
            <w:rStyle w:val="Hyperlink"/>
          </w:rPr>
          <w:t>https://doi.org/10.1101/2020.06.22.20137273</w:t>
        </w:r>
      </w:hyperlink>
      <w:r w:rsidRPr="00A46755">
        <w:t xml:space="preserve"> [Preprint 22 June 2020].</w:t>
      </w:r>
    </w:p>
    <w:p w14:paraId="1534823B" w14:textId="77777777" w:rsidR="007A13A2" w:rsidRPr="00A46755" w:rsidRDefault="007A13A2" w:rsidP="007A13A2">
      <w:pPr>
        <w:pStyle w:val="ListParagraph"/>
        <w:numPr>
          <w:ilvl w:val="0"/>
          <w:numId w:val="1"/>
        </w:numPr>
        <w:spacing w:after="80" w:line="240" w:lineRule="auto"/>
        <w:ind w:left="432" w:hanging="432"/>
        <w:contextualSpacing w:val="0"/>
      </w:pPr>
      <w:r w:rsidRPr="00A46755">
        <w:t xml:space="preserve">Lu X, Chen T, Wang Y, et al. Adjuvant corticosteroid therapy for critically ill patients with COVID-19. </w:t>
      </w:r>
      <w:proofErr w:type="spellStart"/>
      <w:r w:rsidRPr="00A46755">
        <w:t>medRxiv</w:t>
      </w:r>
      <w:proofErr w:type="spellEnd"/>
      <w:r w:rsidRPr="00A46755">
        <w:t xml:space="preserve"> </w:t>
      </w:r>
      <w:r w:rsidRPr="00A46755">
        <w:rPr>
          <w:b/>
          <w:bCs/>
        </w:rPr>
        <w:t>2020</w:t>
      </w:r>
      <w:r w:rsidRPr="00A46755">
        <w:t xml:space="preserve">: Available at: </w:t>
      </w:r>
      <w:hyperlink r:id="rId8" w:history="1">
        <w:r w:rsidRPr="00A46755">
          <w:rPr>
            <w:rStyle w:val="Hyperlink"/>
          </w:rPr>
          <w:t>https://doi.org/10.1101/2020.04.07.20056390</w:t>
        </w:r>
      </w:hyperlink>
      <w:r w:rsidRPr="00A46755">
        <w:t xml:space="preserve"> [Preprint 11 April 2020].</w:t>
      </w:r>
    </w:p>
    <w:p w14:paraId="1A74CA45" w14:textId="77777777" w:rsidR="007A13A2" w:rsidRPr="00A46755" w:rsidRDefault="007A13A2" w:rsidP="007A13A2">
      <w:pPr>
        <w:pStyle w:val="ListParagraph"/>
        <w:numPr>
          <w:ilvl w:val="0"/>
          <w:numId w:val="1"/>
        </w:numPr>
        <w:spacing w:after="80" w:line="240" w:lineRule="auto"/>
        <w:ind w:left="432" w:hanging="432"/>
        <w:contextualSpacing w:val="0"/>
      </w:pPr>
      <w:r w:rsidRPr="00A46755">
        <w:t xml:space="preserve">Salton F, Confalonieri P, </w:t>
      </w:r>
      <w:proofErr w:type="spellStart"/>
      <w:r w:rsidRPr="00A46755">
        <w:t>Santus</w:t>
      </w:r>
      <w:proofErr w:type="spellEnd"/>
      <w:r w:rsidRPr="00A46755">
        <w:t xml:space="preserve"> P, et al. Prolonged low-dose methylprednisolone in patients with severe COVID-19 pneumonia. </w:t>
      </w:r>
      <w:proofErr w:type="spellStart"/>
      <w:r w:rsidRPr="00A46755">
        <w:t>medRxiv</w:t>
      </w:r>
      <w:proofErr w:type="spellEnd"/>
      <w:r w:rsidRPr="00A46755">
        <w:t xml:space="preserve"> </w:t>
      </w:r>
      <w:r w:rsidRPr="00A46755">
        <w:rPr>
          <w:b/>
          <w:bCs/>
        </w:rPr>
        <w:t>2020</w:t>
      </w:r>
      <w:r w:rsidRPr="00A46755">
        <w:t xml:space="preserve">: Available at: </w:t>
      </w:r>
      <w:hyperlink r:id="rId9" w:history="1">
        <w:r w:rsidRPr="00A46755">
          <w:rPr>
            <w:rStyle w:val="Hyperlink"/>
          </w:rPr>
          <w:t>https://doi.org/10.1101/2020.06.17.20134031</w:t>
        </w:r>
      </w:hyperlink>
      <w:r w:rsidRPr="00A46755">
        <w:t xml:space="preserve"> [Preprint 25 June 2020].</w:t>
      </w:r>
    </w:p>
    <w:p w14:paraId="0D807713" w14:textId="77777777" w:rsidR="007A13A2" w:rsidRPr="00A46755" w:rsidRDefault="007A13A2" w:rsidP="007A13A2">
      <w:pPr>
        <w:pStyle w:val="ListParagraph"/>
        <w:numPr>
          <w:ilvl w:val="0"/>
          <w:numId w:val="1"/>
        </w:numPr>
        <w:spacing w:after="80" w:line="240" w:lineRule="auto"/>
        <w:ind w:left="432" w:hanging="432"/>
        <w:contextualSpacing w:val="0"/>
      </w:pPr>
      <w:r w:rsidRPr="00A46755">
        <w:t xml:space="preserve">Wang Y, Jiang W, He Q, et al. Early, low-dose and short-term application of corticosteroid treatment in patients with severe COVID-19 pneumonia: single-center experience from Wuhan, China. </w:t>
      </w:r>
      <w:proofErr w:type="spellStart"/>
      <w:r w:rsidRPr="00A46755">
        <w:t>medRxiv</w:t>
      </w:r>
      <w:proofErr w:type="spellEnd"/>
      <w:r w:rsidRPr="00A46755">
        <w:t xml:space="preserve"> </w:t>
      </w:r>
      <w:r w:rsidRPr="00A46755">
        <w:rPr>
          <w:b/>
          <w:bCs/>
        </w:rPr>
        <w:t>2020</w:t>
      </w:r>
      <w:r w:rsidRPr="00A46755">
        <w:t xml:space="preserve">: Available at: </w:t>
      </w:r>
      <w:hyperlink r:id="rId10" w:history="1">
        <w:r w:rsidRPr="00A46755">
          <w:rPr>
            <w:rStyle w:val="Hyperlink"/>
          </w:rPr>
          <w:t>https://doi.org/10.1101/2020.03.06.20032342</w:t>
        </w:r>
      </w:hyperlink>
      <w:r w:rsidRPr="00A46755">
        <w:t xml:space="preserve"> [Preprint 12 March 2020].</w:t>
      </w:r>
    </w:p>
    <w:p w14:paraId="1464C000" w14:textId="77777777" w:rsidR="007A13A2" w:rsidRPr="00A46755" w:rsidRDefault="007A13A2" w:rsidP="007A13A2">
      <w:pPr>
        <w:pStyle w:val="ListParagraph"/>
        <w:numPr>
          <w:ilvl w:val="0"/>
          <w:numId w:val="1"/>
        </w:numPr>
        <w:spacing w:after="80" w:line="240" w:lineRule="auto"/>
        <w:ind w:left="432" w:hanging="432"/>
        <w:contextualSpacing w:val="0"/>
      </w:pPr>
      <w:r w:rsidRPr="00A46755">
        <w:t xml:space="preserve">Yuan M, Xu X, Xia D, et al. Effects of Corticosteroid Treatment for Non-Severe COVID-19 Pneumonia: A Propensity Score-Based Analysis. Shock </w:t>
      </w:r>
      <w:r w:rsidRPr="00A46755">
        <w:rPr>
          <w:b/>
          <w:bCs/>
        </w:rPr>
        <w:t>2020</w:t>
      </w:r>
      <w:r w:rsidRPr="00A46755">
        <w:t>; 54(5): 638-43.</w:t>
      </w:r>
    </w:p>
    <w:p w14:paraId="782682A5" w14:textId="77777777" w:rsidR="00BD021E" w:rsidRDefault="00BD021E"/>
    <w:sectPr w:rsidR="00BD02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KhbfffAdvTTb5929f4c">
    <w:altName w:val="Calibri"/>
    <w:panose1 w:val="00000000000000000000"/>
    <w:charset w:val="00"/>
    <w:family w:val="swiss"/>
    <w:notTrueType/>
    <w:pitch w:val="default"/>
    <w:sig w:usb0="00000003" w:usb1="00000000" w:usb2="00000000" w:usb3="00000000" w:csb0="00000001" w:csb1="00000000"/>
  </w:font>
  <w:font w:name="XrrjrtAdvTTb5929f4c+20">
    <w:altName w:val="Calibri"/>
    <w:panose1 w:val="00000000000000000000"/>
    <w:charset w:val="00"/>
    <w:family w:val="swiss"/>
    <w:notTrueType/>
    <w:pitch w:val="default"/>
    <w:sig w:usb0="00000003" w:usb1="00000000" w:usb2="00000000" w:usb3="00000000" w:csb0="00000001" w:csb1="00000000"/>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47146C"/>
    <w:multiLevelType w:val="hybridMultilevel"/>
    <w:tmpl w:val="EA0434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5732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3A2"/>
    <w:rsid w:val="007A13A2"/>
    <w:rsid w:val="00BD0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C89AA"/>
  <w15:chartTrackingRefBased/>
  <w15:docId w15:val="{A4E0B2F5-BE5B-4AA2-87F8-5AB15CFF4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3A2"/>
    <w:rPr>
      <w:rFonts w:ascii="Calibri" w:eastAsia="Arial" w:hAnsi="Calibri" w:cs="Arial"/>
      <w:sz w:val="24"/>
      <w:lang w:val="en"/>
    </w:rPr>
  </w:style>
  <w:style w:type="paragraph" w:styleId="Heading1">
    <w:name w:val="heading 1"/>
    <w:basedOn w:val="Normal"/>
    <w:next w:val="Normal"/>
    <w:link w:val="Heading1Char"/>
    <w:uiPriority w:val="9"/>
    <w:qFormat/>
    <w:rsid w:val="007A13A2"/>
    <w:pPr>
      <w:keepNext/>
      <w:keepLines/>
      <w:spacing w:before="400"/>
      <w:outlineLvl w:val="0"/>
    </w:pPr>
    <w:rPr>
      <w:sz w:val="40"/>
      <w:szCs w:val="40"/>
    </w:rPr>
  </w:style>
  <w:style w:type="paragraph" w:styleId="Heading2">
    <w:name w:val="heading 2"/>
    <w:basedOn w:val="Normal"/>
    <w:next w:val="Normal"/>
    <w:link w:val="Heading2Char"/>
    <w:uiPriority w:val="9"/>
    <w:unhideWhenUsed/>
    <w:qFormat/>
    <w:rsid w:val="007A13A2"/>
    <w:pPr>
      <w:keepNext/>
      <w:keepLines/>
      <w:spacing w:before="360"/>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13A2"/>
    <w:rPr>
      <w:rFonts w:ascii="Calibri" w:eastAsia="Arial" w:hAnsi="Calibri" w:cs="Arial"/>
      <w:sz w:val="40"/>
      <w:szCs w:val="40"/>
      <w:lang w:val="en"/>
    </w:rPr>
  </w:style>
  <w:style w:type="character" w:customStyle="1" w:styleId="Heading2Char">
    <w:name w:val="Heading 2 Char"/>
    <w:basedOn w:val="DefaultParagraphFont"/>
    <w:link w:val="Heading2"/>
    <w:uiPriority w:val="9"/>
    <w:rsid w:val="007A13A2"/>
    <w:rPr>
      <w:rFonts w:ascii="Calibri" w:eastAsia="Arial" w:hAnsi="Calibri" w:cs="Arial"/>
      <w:sz w:val="32"/>
      <w:szCs w:val="32"/>
      <w:lang w:val="en"/>
    </w:rPr>
  </w:style>
  <w:style w:type="character" w:styleId="Hyperlink">
    <w:name w:val="Hyperlink"/>
    <w:basedOn w:val="DefaultParagraphFont"/>
    <w:uiPriority w:val="99"/>
    <w:unhideWhenUsed/>
    <w:rsid w:val="007A13A2"/>
    <w:rPr>
      <w:color w:val="0563C1" w:themeColor="hyperlink"/>
      <w:u w:val="single"/>
    </w:rPr>
  </w:style>
  <w:style w:type="paragraph" w:styleId="NormalWeb">
    <w:name w:val="Normal (Web)"/>
    <w:basedOn w:val="Normal"/>
    <w:uiPriority w:val="99"/>
    <w:unhideWhenUsed/>
    <w:rsid w:val="007A13A2"/>
    <w:pPr>
      <w:spacing w:before="100" w:beforeAutospacing="1" w:after="100" w:afterAutospacing="1" w:line="240" w:lineRule="auto"/>
    </w:pPr>
    <w:rPr>
      <w:rFonts w:ascii="Times New Roman" w:eastAsia="Times New Roman" w:hAnsi="Times New Roman" w:cs="Times New Roman"/>
      <w:szCs w:val="24"/>
      <w:lang w:val="en-US"/>
    </w:rPr>
  </w:style>
  <w:style w:type="paragraph" w:styleId="ListParagraph">
    <w:name w:val="List Paragraph"/>
    <w:basedOn w:val="Normal"/>
    <w:uiPriority w:val="34"/>
    <w:qFormat/>
    <w:rsid w:val="007A13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1/2020.04.07.20056390" TargetMode="External"/><Relationship Id="rId3" Type="http://schemas.openxmlformats.org/officeDocument/2006/relationships/settings" Target="settings.xml"/><Relationship Id="rId7" Type="http://schemas.openxmlformats.org/officeDocument/2006/relationships/hyperlink" Target="https://doi.org/10.1101/2020.06.22.2013727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01/2020.05.22.20110544" TargetMode="External"/><Relationship Id="rId11" Type="http://schemas.openxmlformats.org/officeDocument/2006/relationships/fontTable" Target="fontTable.xml"/><Relationship Id="rId5" Type="http://schemas.openxmlformats.org/officeDocument/2006/relationships/hyperlink" Target="https://doi.org/10.1101/2020.06.17.20133579" TargetMode="External"/><Relationship Id="rId10" Type="http://schemas.openxmlformats.org/officeDocument/2006/relationships/hyperlink" Target="https://doi.org/10.1101/2020.03.06.20032342" TargetMode="External"/><Relationship Id="rId4" Type="http://schemas.openxmlformats.org/officeDocument/2006/relationships/webSettings" Target="webSettings.xml"/><Relationship Id="rId9" Type="http://schemas.openxmlformats.org/officeDocument/2006/relationships/hyperlink" Target="https://doi.org/10.1101/2020.06.17.201340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1700</Words>
  <Characters>9696</Characters>
  <Application>Microsoft Office Word</Application>
  <DocSecurity>0</DocSecurity>
  <Lines>80</Lines>
  <Paragraphs>22</Paragraphs>
  <ScaleCrop>false</ScaleCrop>
  <Company/>
  <LinksUpToDate>false</LinksUpToDate>
  <CharactersWithSpaces>11374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Amponsah, Imani</dc:creator>
  <cp:keywords/>
  <dc:description/>
  <cp:lastModifiedBy>Amponsah, Imani</cp:lastModifiedBy>
  <cp:revision>1</cp:revision>
  <dcterms:created xsi:type="dcterms:W3CDTF">2023-02-14T14:46:00Z</dcterms:created>
  <dcterms:modified xsi:type="dcterms:W3CDTF">2023-02-14T14:50:00Z</dcterms:modified>
</cp:coreProperties>
</file>